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EF333" w14:textId="77777777" w:rsidR="00527721" w:rsidRDefault="00527721">
      <w:pPr>
        <w:pStyle w:val="Heading5"/>
        <w:rPr>
          <w:rFonts w:ascii="Arial" w:eastAsia="Times New Roman" w:hAnsi="Arial" w:cs="Arial"/>
          <w:lang w:val="en"/>
          <w14:ligatures w14:val="none"/>
        </w:rPr>
      </w:pPr>
      <w:r>
        <w:rPr>
          <w:rFonts w:ascii="Arial" w:eastAsia="Times New Roman" w:hAnsi="Arial" w:cs="Arial"/>
          <w:lang w:val="en"/>
        </w:rPr>
        <w:t>Module 2a</w:t>
      </w:r>
    </w:p>
    <w:p w14:paraId="06B4D195" w14:textId="77777777" w:rsidR="00527721" w:rsidRDefault="00527721">
      <w:pPr>
        <w:pStyle w:val="Heading1"/>
        <w:rPr>
          <w:rFonts w:ascii="Arial" w:eastAsia="Times New Roman" w:hAnsi="Arial" w:cs="Arial"/>
          <w:lang w:val="en"/>
        </w:rPr>
      </w:pPr>
      <w:r>
        <w:rPr>
          <w:rFonts w:ascii="Arial" w:eastAsia="Times New Roman" w:hAnsi="Arial" w:cs="Arial"/>
          <w:lang w:val="en"/>
        </w:rPr>
        <w:t xml:space="preserve">How do the national frameworks support professional development? </w:t>
      </w:r>
    </w:p>
    <w:p w14:paraId="61D903BD" w14:textId="77777777" w:rsidR="00527721" w:rsidRDefault="00527721">
      <w:pPr>
        <w:pStyle w:val="Heading2"/>
        <w:divId w:val="2144344582"/>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w:t>
      </w:r>
      <w:proofErr w:type="gramStart"/>
      <w:r>
        <w:rPr>
          <w:rFonts w:ascii="Arial" w:eastAsia="Times New Roman" w:hAnsi="Arial" w:cs="Arial"/>
          <w:lang w:val="en"/>
        </w:rPr>
        <w:t>begin</w:t>
      </w:r>
      <w:proofErr w:type="gramEnd"/>
    </w:p>
    <w:p w14:paraId="5D7155DB" w14:textId="77777777" w:rsidR="00527721" w:rsidRDefault="00527721">
      <w:pPr>
        <w:pStyle w:val="Heading5"/>
        <w:divId w:val="2144344582"/>
        <w:rPr>
          <w:rFonts w:ascii="Arial" w:eastAsia="Times New Roman" w:hAnsi="Arial" w:cs="Arial"/>
          <w:lang w:val="en"/>
        </w:rPr>
      </w:pPr>
      <w:r>
        <w:rPr>
          <w:rFonts w:ascii="Arial" w:eastAsia="Times New Roman" w:hAnsi="Arial" w:cs="Arial"/>
          <w:lang w:val="en"/>
        </w:rPr>
        <w:t xml:space="preserve">Reflection </w:t>
      </w:r>
    </w:p>
    <w:p w14:paraId="5FF7977C" w14:textId="77777777" w:rsidR="00527721" w:rsidRDefault="00527721">
      <w:pPr>
        <w:spacing w:line="264" w:lineRule="auto"/>
        <w:divId w:val="907156201"/>
        <w:rPr>
          <w:rFonts w:ascii="Arial" w:hAnsi="Arial" w:cs="Arial"/>
          <w:color w:val="767676"/>
          <w:sz w:val="18"/>
          <w:szCs w:val="18"/>
          <w:lang w:val="en"/>
        </w:rPr>
      </w:pPr>
      <w:r>
        <w:rPr>
          <w:rFonts w:ascii="Arial" w:hAnsi="Arial" w:cs="Arial"/>
          <w:b/>
          <w:bCs/>
          <w:color w:val="E27C04"/>
          <w:sz w:val="20"/>
          <w:szCs w:val="20"/>
          <w:lang w:val="en"/>
        </w:rPr>
        <w:t>Note:</w:t>
      </w:r>
      <w:r>
        <w:rPr>
          <w:rFonts w:ascii="Arial" w:hAnsi="Arial" w:cs="Arial"/>
          <w:color w:val="767676"/>
          <w:sz w:val="18"/>
          <w:szCs w:val="18"/>
          <w:lang w:val="en"/>
        </w:rPr>
        <w:t> In this professional learning we use ‘education setting’ in place of ‘school</w:t>
      </w:r>
      <w:proofErr w:type="gramStart"/>
      <w:r>
        <w:rPr>
          <w:rFonts w:ascii="Arial" w:hAnsi="Arial" w:cs="Arial"/>
          <w:color w:val="767676"/>
          <w:sz w:val="18"/>
          <w:szCs w:val="18"/>
          <w:lang w:val="en"/>
        </w:rPr>
        <w:t>’,</w:t>
      </w:r>
      <w:proofErr w:type="gramEnd"/>
      <w:r>
        <w:rPr>
          <w:rFonts w:ascii="Arial" w:hAnsi="Arial" w:cs="Arial"/>
          <w:color w:val="767676"/>
          <w:sz w:val="18"/>
          <w:szCs w:val="18"/>
          <w:lang w:val="en"/>
        </w:rPr>
        <w:t xml:space="preserve"> so that teachers across diverse contexts </w:t>
      </w:r>
      <w:proofErr w:type="gramStart"/>
      <w:r>
        <w:rPr>
          <w:rFonts w:ascii="Arial" w:hAnsi="Arial" w:cs="Arial"/>
          <w:color w:val="767676"/>
          <w:sz w:val="18"/>
          <w:szCs w:val="18"/>
          <w:lang w:val="en"/>
        </w:rPr>
        <w:t>are included</w:t>
      </w:r>
      <w:proofErr w:type="gramEnd"/>
      <w:r>
        <w:rPr>
          <w:rFonts w:ascii="Arial" w:hAnsi="Arial" w:cs="Arial"/>
          <w:color w:val="767676"/>
          <w:sz w:val="18"/>
          <w:szCs w:val="18"/>
          <w:lang w:val="en"/>
        </w:rPr>
        <w:t>.</w:t>
      </w:r>
    </w:p>
    <w:p w14:paraId="387B6396" w14:textId="77777777" w:rsidR="00527721" w:rsidRDefault="00527721">
      <w:pPr>
        <w:pStyle w:val="NormalWeb"/>
        <w:divId w:val="2144344582"/>
        <w:rPr>
          <w:rFonts w:ascii="Arial" w:hAnsi="Arial" w:cs="Arial"/>
          <w:lang w:val="en"/>
        </w:rPr>
      </w:pPr>
      <w:r>
        <w:rPr>
          <w:rFonts w:ascii="Arial" w:hAnsi="Arial" w:cs="Arial"/>
          <w:lang w:val="en"/>
        </w:rPr>
        <w:t>What impact would implementing effective performance and development practices have on your education setting?</w:t>
      </w:r>
    </w:p>
    <w:p w14:paraId="70A84EC6" w14:textId="77777777" w:rsidR="00527721" w:rsidRDefault="00527721">
      <w:pPr>
        <w:pStyle w:val="user-notes"/>
        <w:spacing w:line="264" w:lineRule="auto"/>
        <w:divId w:val="2144344582"/>
        <w:rPr>
          <w:rFonts w:ascii="Arial" w:hAnsi="Arial" w:cs="Arial"/>
          <w:color w:val="000000"/>
          <w:lang w:val="en"/>
        </w:rPr>
      </w:pPr>
      <w:r>
        <w:rPr>
          <w:rFonts w:ascii="Arial" w:hAnsi="Arial" w:cs="Arial"/>
          <w:color w:val="000000"/>
          <w:lang w:val="en"/>
        </w:rPr>
        <w:t> </w:t>
      </w:r>
    </w:p>
    <w:p w14:paraId="03E3079B" w14:textId="77777777" w:rsidR="00527721" w:rsidRDefault="00527721">
      <w:pPr>
        <w:pStyle w:val="Heading2"/>
        <w:divId w:val="2144344582"/>
        <w:rPr>
          <w:rFonts w:ascii="Arial" w:eastAsia="Times New Roman" w:hAnsi="Arial" w:cs="Arial"/>
          <w:lang w:val="en"/>
        </w:rPr>
      </w:pPr>
      <w:r>
        <w:rPr>
          <w:rFonts w:ascii="Arial" w:eastAsia="Times New Roman" w:hAnsi="Arial" w:cs="Arial"/>
          <w:lang w:val="en"/>
        </w:rPr>
        <w:t>What is the Australian Teacher Performance and Development Framework?</w:t>
      </w:r>
    </w:p>
    <w:p w14:paraId="37A77A95" w14:textId="77777777" w:rsidR="00527721" w:rsidRDefault="00527721">
      <w:pPr>
        <w:pStyle w:val="NormalWeb"/>
        <w:divId w:val="2144344582"/>
        <w:rPr>
          <w:rFonts w:ascii="Arial" w:hAnsi="Arial" w:cs="Arial"/>
          <w:lang w:val="en"/>
        </w:rPr>
      </w:pPr>
      <w:r>
        <w:rPr>
          <w:rFonts w:ascii="Arial" w:hAnsi="Arial" w:cs="Arial"/>
          <w:lang w:val="en"/>
        </w:rPr>
        <w:t xml:space="preserve">The Australian Teacher Performance and Development Framework (the Framework) </w:t>
      </w:r>
      <w:proofErr w:type="gramStart"/>
      <w:r>
        <w:rPr>
          <w:rFonts w:ascii="Arial" w:hAnsi="Arial" w:cs="Arial"/>
          <w:lang w:val="en"/>
        </w:rPr>
        <w:t>outlines</w:t>
      </w:r>
      <w:proofErr w:type="gramEnd"/>
      <w:r>
        <w:rPr>
          <w:rFonts w:ascii="Arial" w:hAnsi="Arial" w:cs="Arial"/>
          <w:lang w:val="en"/>
        </w:rPr>
        <w:t xml:space="preserve"> a national approach to supporting teacher performance and development. It examines how to build a culture of development and the continuous cycle of development.</w:t>
      </w:r>
    </w:p>
    <w:p w14:paraId="2F168597" w14:textId="77777777" w:rsidR="00527721" w:rsidRDefault="00527721">
      <w:pPr>
        <w:divId w:val="1652633513"/>
        <w:rPr>
          <w:rFonts w:ascii="Arial" w:eastAsia="Times New Roman" w:hAnsi="Arial" w:cs="Arial"/>
          <w:lang w:val="en"/>
        </w:rPr>
      </w:pPr>
      <w:r>
        <w:rPr>
          <w:rFonts w:ascii="Arial" w:eastAsia="Times New Roman" w:hAnsi="Arial" w:cs="Arial"/>
          <w:noProof/>
          <w:lang w:val="en"/>
        </w:rPr>
        <w:lastRenderedPageBreak/>
        <w:drawing>
          <wp:inline distT="0" distB="0" distL="0" distR="0" wp14:anchorId="125FE4C2" wp14:editId="03D795E9">
            <wp:extent cx="2590800" cy="3657600"/>
            <wp:effectExtent l="0" t="0" r="0" b="0"/>
            <wp:docPr id="1" name="Picture 1" descr="Cover photo of the Australian Teacher Performance and Development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photo of the Australian Teacher Performance and Development Framewor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0" cy="3657600"/>
                    </a:xfrm>
                    <a:prstGeom prst="rect">
                      <a:avLst/>
                    </a:prstGeom>
                    <a:noFill/>
                    <a:ln>
                      <a:noFill/>
                    </a:ln>
                  </pic:spPr>
                </pic:pic>
              </a:graphicData>
            </a:graphic>
          </wp:inline>
        </w:drawing>
      </w:r>
    </w:p>
    <w:p w14:paraId="0E0FB512" w14:textId="77777777" w:rsidR="00527721" w:rsidRDefault="00527721">
      <w:pPr>
        <w:pStyle w:val="NormalWeb"/>
        <w:divId w:val="2144344582"/>
        <w:rPr>
          <w:rFonts w:ascii="Arial" w:hAnsi="Arial" w:cs="Arial"/>
          <w:lang w:val="en"/>
        </w:rPr>
      </w:pPr>
      <w:r>
        <w:rPr>
          <w:rFonts w:ascii="Arial" w:hAnsi="Arial" w:cs="Arial"/>
          <w:lang w:val="en"/>
        </w:rPr>
        <w:t xml:space="preserve">The Framework </w:t>
      </w:r>
      <w:proofErr w:type="gramStart"/>
      <w:r>
        <w:rPr>
          <w:rFonts w:ascii="Arial" w:hAnsi="Arial" w:cs="Arial"/>
          <w:lang w:val="en"/>
        </w:rPr>
        <w:t>was developed</w:t>
      </w:r>
      <w:proofErr w:type="gramEnd"/>
      <w:r>
        <w:rPr>
          <w:rFonts w:ascii="Arial" w:hAnsi="Arial" w:cs="Arial"/>
          <w:lang w:val="en"/>
        </w:rPr>
        <w:t xml:space="preserve"> in collaboration between AITSL and education stakeholders, and is based on research, national </w:t>
      </w:r>
      <w:proofErr w:type="gramStart"/>
      <w:r>
        <w:rPr>
          <w:rFonts w:ascii="Arial" w:hAnsi="Arial" w:cs="Arial"/>
          <w:lang w:val="en"/>
        </w:rPr>
        <w:t>mapping</w:t>
      </w:r>
      <w:proofErr w:type="gramEnd"/>
      <w:r>
        <w:rPr>
          <w:rFonts w:ascii="Arial" w:hAnsi="Arial" w:cs="Arial"/>
          <w:lang w:val="en"/>
        </w:rPr>
        <w:t xml:space="preserve"> and extensive consultation.</w:t>
      </w:r>
    </w:p>
    <w:p w14:paraId="0BA22465" w14:textId="77777777" w:rsidR="00527721" w:rsidRDefault="00527721">
      <w:pPr>
        <w:pStyle w:val="NormalWeb"/>
        <w:divId w:val="2144344582"/>
        <w:rPr>
          <w:rFonts w:ascii="Arial" w:hAnsi="Arial" w:cs="Arial"/>
          <w:lang w:val="en"/>
        </w:rPr>
      </w:pPr>
      <w:r>
        <w:rPr>
          <w:rFonts w:ascii="Arial" w:hAnsi="Arial" w:cs="Arial"/>
          <w:lang w:val="en"/>
        </w:rPr>
        <w:t>In this module we will look at what the Framework says about effective performance and development and how it applies to your education setting.</w:t>
      </w:r>
    </w:p>
    <w:p w14:paraId="665AFAA6" w14:textId="0BB2EF50" w:rsidR="00527721" w:rsidRDefault="00527721">
      <w:pPr>
        <w:spacing w:line="264" w:lineRule="auto"/>
        <w:divId w:val="1971670218"/>
        <w:rPr>
          <w:rFonts w:ascii="Arial" w:hAnsi="Arial" w:cs="Arial"/>
          <w:color w:val="767676"/>
          <w:sz w:val="18"/>
          <w:szCs w:val="18"/>
          <w:lang w:val="en"/>
        </w:rPr>
      </w:pPr>
      <w:r>
        <w:rPr>
          <w:rFonts w:ascii="Arial" w:hAnsi="Arial" w:cs="Arial"/>
          <w:b/>
          <w:bCs/>
          <w:color w:val="E27C04"/>
          <w:sz w:val="20"/>
          <w:szCs w:val="20"/>
          <w:lang w:val="en"/>
        </w:rPr>
        <w:t xml:space="preserve">Further reading: </w:t>
      </w:r>
      <w:r w:rsidRPr="00B41DE2">
        <w:rPr>
          <w:rFonts w:ascii="Arial" w:hAnsi="Arial" w:cs="Arial"/>
          <w:color w:val="808080" w:themeColor="background1" w:themeShade="80"/>
          <w:sz w:val="20"/>
          <w:szCs w:val="20"/>
          <w:lang w:val="en"/>
        </w:rPr>
        <w:t>Read</w:t>
      </w:r>
      <w:r w:rsidRPr="00B41DE2">
        <w:rPr>
          <w:rFonts w:ascii="Arial" w:hAnsi="Arial" w:cs="Arial"/>
          <w:color w:val="808080" w:themeColor="background1" w:themeShade="80"/>
          <w:sz w:val="18"/>
          <w:szCs w:val="18"/>
          <w:lang w:val="en"/>
        </w:rPr>
        <w:t xml:space="preserve"> </w:t>
      </w:r>
      <w:r>
        <w:rPr>
          <w:rFonts w:ascii="Arial" w:hAnsi="Arial" w:cs="Arial"/>
          <w:color w:val="767676"/>
          <w:sz w:val="18"/>
          <w:szCs w:val="18"/>
          <w:lang w:val="en"/>
        </w:rPr>
        <w:t xml:space="preserve">the </w:t>
      </w:r>
      <w:r w:rsidR="00A54272">
        <w:rPr>
          <w:rFonts w:ascii="Arial" w:hAnsi="Arial" w:cs="Arial"/>
          <w:color w:val="767676"/>
          <w:sz w:val="18"/>
          <w:szCs w:val="18"/>
          <w:lang w:val="en"/>
        </w:rPr>
        <w:t xml:space="preserve"> </w:t>
      </w:r>
      <w:hyperlink r:id="rId6" w:history="1">
        <w:r w:rsidR="00A54272" w:rsidRPr="00A54272">
          <w:rPr>
            <w:rStyle w:val="Hyperlink"/>
            <w:rFonts w:ascii="Arial" w:hAnsi="Arial" w:cs="Arial"/>
            <w:sz w:val="18"/>
            <w:szCs w:val="18"/>
            <w:lang w:val="en"/>
          </w:rPr>
          <w:t>Australian Teacher Performance and Development Framework</w:t>
        </w:r>
      </w:hyperlink>
      <w:r>
        <w:rPr>
          <w:rFonts w:ascii="Arial" w:hAnsi="Arial" w:cs="Arial"/>
          <w:color w:val="767676"/>
          <w:sz w:val="18"/>
          <w:szCs w:val="18"/>
          <w:lang w:val="en"/>
        </w:rPr>
        <w:t xml:space="preserve"> in full, look at </w:t>
      </w:r>
      <w:hyperlink r:id="rId7" w:history="1">
        <w:r>
          <w:rPr>
            <w:rStyle w:val="Hyperlink"/>
            <w:rFonts w:ascii="Arial" w:hAnsi="Arial" w:cs="Arial"/>
            <w:sz w:val="18"/>
            <w:szCs w:val="18"/>
            <w:lang w:val="en"/>
          </w:rPr>
          <w:t>Unpacking the Australian Teacher Performance and Development Framework</w:t>
        </w:r>
      </w:hyperlink>
      <w:r>
        <w:rPr>
          <w:rFonts w:ascii="Arial" w:hAnsi="Arial" w:cs="Arial"/>
          <w:color w:val="767676"/>
          <w:sz w:val="18"/>
          <w:szCs w:val="18"/>
          <w:lang w:val="en"/>
        </w:rPr>
        <w:t xml:space="preserve"> and download </w:t>
      </w:r>
      <w:hyperlink r:id="rId8" w:history="1">
        <w:r>
          <w:rPr>
            <w:rStyle w:val="Hyperlink"/>
            <w:rFonts w:ascii="Arial" w:hAnsi="Arial" w:cs="Arial"/>
            <w:sz w:val="18"/>
            <w:szCs w:val="18"/>
            <w:lang w:val="en"/>
          </w:rPr>
          <w:t>FAQ document</w:t>
        </w:r>
      </w:hyperlink>
      <w:r>
        <w:rPr>
          <w:rFonts w:ascii="Arial" w:hAnsi="Arial" w:cs="Arial"/>
          <w:color w:val="767676"/>
          <w:sz w:val="18"/>
          <w:szCs w:val="18"/>
          <w:lang w:val="en"/>
        </w:rPr>
        <w:t xml:space="preserve"> about the Framework.</w:t>
      </w:r>
    </w:p>
    <w:p w14:paraId="4B4EA8D7" w14:textId="77777777" w:rsidR="00527721" w:rsidRDefault="00527721">
      <w:pPr>
        <w:pStyle w:val="Heading2"/>
        <w:divId w:val="2144344582"/>
        <w:rPr>
          <w:rFonts w:ascii="Arial" w:eastAsia="Times New Roman" w:hAnsi="Arial" w:cs="Arial"/>
          <w:lang w:val="en"/>
        </w:rPr>
      </w:pPr>
      <w:r>
        <w:rPr>
          <w:rFonts w:ascii="Arial" w:eastAsia="Times New Roman" w:hAnsi="Arial" w:cs="Arial"/>
          <w:lang w:val="en"/>
        </w:rPr>
        <w:t>What makes effective performance and development?</w:t>
      </w:r>
    </w:p>
    <w:p w14:paraId="23B02795" w14:textId="77777777" w:rsidR="00527721" w:rsidRDefault="00527721">
      <w:pPr>
        <w:pStyle w:val="NormalWeb"/>
        <w:divId w:val="2144344582"/>
        <w:rPr>
          <w:rFonts w:ascii="Arial" w:hAnsi="Arial" w:cs="Arial"/>
          <w:lang w:val="en"/>
        </w:rPr>
      </w:pPr>
      <w:r>
        <w:rPr>
          <w:rFonts w:ascii="Arial" w:hAnsi="Arial" w:cs="Arial"/>
          <w:lang w:val="en"/>
        </w:rPr>
        <w:t xml:space="preserve">The Framework outlines the performance and development </w:t>
      </w:r>
      <w:r>
        <w:rPr>
          <w:rStyle w:val="Strong"/>
          <w:rFonts w:ascii="Arial" w:hAnsi="Arial" w:cs="Arial"/>
          <w:lang w:val="en"/>
        </w:rPr>
        <w:t>cycle</w:t>
      </w:r>
      <w:r>
        <w:rPr>
          <w:rFonts w:ascii="Arial" w:hAnsi="Arial" w:cs="Arial"/>
          <w:lang w:val="en"/>
        </w:rPr>
        <w:t xml:space="preserve">, and how it sits within a wider performance and development </w:t>
      </w:r>
      <w:r>
        <w:rPr>
          <w:rStyle w:val="Strong"/>
          <w:rFonts w:ascii="Arial" w:hAnsi="Arial" w:cs="Arial"/>
          <w:lang w:val="en"/>
        </w:rPr>
        <w:t>culture</w:t>
      </w:r>
      <w:r>
        <w:rPr>
          <w:rFonts w:ascii="Arial" w:hAnsi="Arial" w:cs="Arial"/>
          <w:lang w:val="en"/>
        </w:rPr>
        <w:t>. Watch this 6 min animation for an overview.</w:t>
      </w:r>
    </w:p>
    <w:p w14:paraId="37EB530D" w14:textId="77777777" w:rsidR="00527721" w:rsidRDefault="00527721">
      <w:pPr>
        <w:pStyle w:val="hidehtml"/>
        <w:divId w:val="2144344582"/>
        <w:rPr>
          <w:rFonts w:ascii="Arial" w:hAnsi="Arial" w:cs="Arial"/>
          <w:lang w:val="en"/>
        </w:rPr>
      </w:pPr>
      <w:hyperlink r:id="rId9" w:history="1">
        <w:r>
          <w:rPr>
            <w:rStyle w:val="Hyperlink"/>
            <w:rFonts w:ascii="Arial" w:hAnsi="Arial" w:cs="Arial"/>
            <w:lang w:val="en"/>
          </w:rPr>
          <w:t>https://www.youtube.com/watch?v=EjMBxxNaboE</w:t>
        </w:r>
      </w:hyperlink>
    </w:p>
    <w:p w14:paraId="59DDDDFB" w14:textId="77777777" w:rsidR="00527721" w:rsidRDefault="00527721">
      <w:pPr>
        <w:pStyle w:val="Heading5"/>
        <w:divId w:val="2144344582"/>
        <w:rPr>
          <w:rFonts w:ascii="Arial" w:eastAsia="Times New Roman" w:hAnsi="Arial" w:cs="Arial"/>
          <w:lang w:val="en"/>
        </w:rPr>
      </w:pPr>
      <w:r>
        <w:rPr>
          <w:rFonts w:ascii="Arial" w:eastAsia="Times New Roman" w:hAnsi="Arial" w:cs="Arial"/>
          <w:lang w:val="en"/>
        </w:rPr>
        <w:t>Video notes</w:t>
      </w:r>
    </w:p>
    <w:p w14:paraId="2F99D23B" w14:textId="77777777" w:rsidR="00527721" w:rsidRDefault="00527721">
      <w:pPr>
        <w:pStyle w:val="user-notes"/>
        <w:spacing w:line="264" w:lineRule="auto"/>
        <w:divId w:val="2144344582"/>
        <w:rPr>
          <w:rFonts w:ascii="Arial" w:hAnsi="Arial" w:cs="Arial"/>
          <w:color w:val="000000"/>
          <w:lang w:val="en"/>
        </w:rPr>
      </w:pPr>
      <w:r>
        <w:rPr>
          <w:rFonts w:ascii="Arial" w:hAnsi="Arial" w:cs="Arial"/>
          <w:color w:val="000000"/>
          <w:lang w:val="en"/>
        </w:rPr>
        <w:t> </w:t>
      </w:r>
    </w:p>
    <w:p w14:paraId="3B22F86D" w14:textId="77777777" w:rsidR="00527721" w:rsidRDefault="00527721">
      <w:pPr>
        <w:pStyle w:val="Heading5"/>
        <w:divId w:val="2144344582"/>
        <w:rPr>
          <w:rFonts w:ascii="Arial" w:eastAsia="Times New Roman" w:hAnsi="Arial" w:cs="Arial"/>
          <w:lang w:val="en"/>
        </w:rPr>
      </w:pPr>
      <w:r>
        <w:rPr>
          <w:rFonts w:ascii="Arial" w:eastAsia="Times New Roman" w:hAnsi="Arial" w:cs="Arial"/>
          <w:lang w:val="en"/>
        </w:rPr>
        <w:lastRenderedPageBreak/>
        <w:t>Reflection</w:t>
      </w:r>
    </w:p>
    <w:p w14:paraId="47A14304" w14:textId="77777777" w:rsidR="00527721" w:rsidRDefault="00527721">
      <w:pPr>
        <w:pStyle w:val="NormalWeb"/>
        <w:divId w:val="2144344582"/>
        <w:rPr>
          <w:rFonts w:ascii="Arial" w:hAnsi="Arial" w:cs="Arial"/>
          <w:lang w:val="en"/>
        </w:rPr>
      </w:pPr>
      <w:r>
        <w:rPr>
          <w:rFonts w:ascii="Arial" w:hAnsi="Arial" w:cs="Arial"/>
          <w:lang w:val="en"/>
        </w:rPr>
        <w:t xml:space="preserve">What current development practices are working well in your education setting? What practices could </w:t>
      </w:r>
      <w:proofErr w:type="gramStart"/>
      <w:r>
        <w:rPr>
          <w:rFonts w:ascii="Arial" w:hAnsi="Arial" w:cs="Arial"/>
          <w:lang w:val="en"/>
        </w:rPr>
        <w:t>be strengthened</w:t>
      </w:r>
      <w:proofErr w:type="gramEnd"/>
      <w:r>
        <w:rPr>
          <w:rFonts w:ascii="Arial" w:hAnsi="Arial" w:cs="Arial"/>
          <w:lang w:val="en"/>
        </w:rPr>
        <w:t>?</w:t>
      </w:r>
    </w:p>
    <w:p w14:paraId="1094CCFE" w14:textId="77777777" w:rsidR="00527721" w:rsidRDefault="00527721">
      <w:pPr>
        <w:pStyle w:val="user-notes"/>
        <w:spacing w:line="264" w:lineRule="auto"/>
        <w:divId w:val="2144344582"/>
        <w:rPr>
          <w:rFonts w:ascii="Arial" w:hAnsi="Arial" w:cs="Arial"/>
          <w:color w:val="000000"/>
          <w:lang w:val="en"/>
        </w:rPr>
      </w:pPr>
      <w:r>
        <w:rPr>
          <w:rFonts w:ascii="Arial" w:hAnsi="Arial" w:cs="Arial"/>
          <w:color w:val="000000"/>
          <w:lang w:val="en"/>
        </w:rPr>
        <w:t> </w:t>
      </w:r>
    </w:p>
    <w:p w14:paraId="3788EC43" w14:textId="77777777" w:rsidR="00527721" w:rsidRDefault="00527721">
      <w:pPr>
        <w:pStyle w:val="NormalWeb"/>
        <w:divId w:val="2144344582"/>
        <w:rPr>
          <w:rFonts w:ascii="Arial" w:hAnsi="Arial" w:cs="Arial"/>
          <w:lang w:val="en"/>
        </w:rPr>
      </w:pPr>
      <w:r>
        <w:rPr>
          <w:rFonts w:ascii="Arial" w:hAnsi="Arial" w:cs="Arial"/>
          <w:lang w:val="en"/>
        </w:rPr>
        <w:t>What components of the Framework can you already see in action in your education setting?</w:t>
      </w:r>
    </w:p>
    <w:p w14:paraId="1ADCA4D4" w14:textId="77777777" w:rsidR="00527721" w:rsidRDefault="00527721">
      <w:pPr>
        <w:pStyle w:val="user-notes"/>
        <w:spacing w:line="264" w:lineRule="auto"/>
        <w:divId w:val="2144344582"/>
        <w:rPr>
          <w:rFonts w:ascii="Arial" w:hAnsi="Arial" w:cs="Arial"/>
          <w:color w:val="000000"/>
          <w:lang w:val="en"/>
        </w:rPr>
      </w:pPr>
      <w:r>
        <w:rPr>
          <w:rFonts w:ascii="Arial" w:hAnsi="Arial" w:cs="Arial"/>
          <w:color w:val="000000"/>
          <w:lang w:val="en"/>
        </w:rPr>
        <w:t> </w:t>
      </w:r>
    </w:p>
    <w:p w14:paraId="1DAC0E5E" w14:textId="77777777" w:rsidR="00527721" w:rsidRDefault="00527721">
      <w:pPr>
        <w:pStyle w:val="Heading2"/>
        <w:divId w:val="886918832"/>
        <w:rPr>
          <w:rFonts w:ascii="Arial" w:eastAsia="Times New Roman" w:hAnsi="Arial" w:cs="Arial"/>
          <w:lang w:val="en"/>
        </w:rPr>
      </w:pPr>
      <w:r>
        <w:rPr>
          <w:rFonts w:ascii="Arial" w:eastAsia="Times New Roman" w:hAnsi="Arial" w:cs="Arial"/>
          <w:lang w:val="en"/>
        </w:rPr>
        <w:t xml:space="preserve">What is </w:t>
      </w:r>
      <w:proofErr w:type="gramStart"/>
      <w:r>
        <w:rPr>
          <w:rFonts w:ascii="Arial" w:eastAsia="Times New Roman" w:hAnsi="Arial" w:cs="Arial"/>
          <w:lang w:val="en"/>
        </w:rPr>
        <w:t>a performance</w:t>
      </w:r>
      <w:proofErr w:type="gramEnd"/>
      <w:r>
        <w:rPr>
          <w:rFonts w:ascii="Arial" w:eastAsia="Times New Roman" w:hAnsi="Arial" w:cs="Arial"/>
          <w:lang w:val="en"/>
        </w:rPr>
        <w:t xml:space="preserve"> and development culture?</w:t>
      </w:r>
    </w:p>
    <w:p w14:paraId="6CAFEC36" w14:textId="77777777" w:rsidR="00527721" w:rsidRDefault="00527721">
      <w:pPr>
        <w:pStyle w:val="NormalWeb"/>
        <w:divId w:val="886918832"/>
        <w:rPr>
          <w:rFonts w:ascii="Arial" w:hAnsi="Arial" w:cs="Arial"/>
          <w:lang w:val="en"/>
        </w:rPr>
      </w:pPr>
      <w:r>
        <w:rPr>
          <w:rFonts w:ascii="Arial" w:hAnsi="Arial" w:cs="Arial"/>
          <w:lang w:val="en"/>
        </w:rPr>
        <w:t xml:space="preserve">Research shows that a successful approach to effective performance and development relies on creating a strong and supportive culture in an education setting. The five components of a successful approach to development culture </w:t>
      </w:r>
      <w:proofErr w:type="gramStart"/>
      <w:r>
        <w:rPr>
          <w:rFonts w:ascii="Arial" w:hAnsi="Arial" w:cs="Arial"/>
          <w:lang w:val="en"/>
        </w:rPr>
        <w:t>are outlined</w:t>
      </w:r>
      <w:proofErr w:type="gramEnd"/>
      <w:r>
        <w:rPr>
          <w:rFonts w:ascii="Arial" w:hAnsi="Arial" w:cs="Arial"/>
          <w:lang w:val="en"/>
        </w:rPr>
        <w:t xml:space="preserve"> in dark green here: </w:t>
      </w:r>
    </w:p>
    <w:p w14:paraId="3405B912" w14:textId="77777777" w:rsidR="00527721" w:rsidRDefault="00527721">
      <w:pPr>
        <w:divId w:val="869878403"/>
        <w:rPr>
          <w:rFonts w:ascii="Arial" w:eastAsia="Times New Roman" w:hAnsi="Arial" w:cs="Arial"/>
          <w:lang w:val="en"/>
        </w:rPr>
      </w:pPr>
      <w:r>
        <w:rPr>
          <w:rFonts w:ascii="Arial" w:eastAsia="Times New Roman" w:hAnsi="Arial" w:cs="Arial"/>
          <w:noProof/>
          <w:lang w:val="en"/>
        </w:rPr>
        <w:lastRenderedPageBreak/>
        <w:drawing>
          <wp:inline distT="0" distB="0" distL="0" distR="0" wp14:anchorId="009EBE4D" wp14:editId="64F73B5B">
            <wp:extent cx="4572000" cy="5019675"/>
            <wp:effectExtent l="0" t="0" r="0" b="9525"/>
            <wp:docPr id="2" name="Picture 2" descr="erformance and development culture components, which are ‘Focus on student outcomes’, ‘Clear understanding of effective teaching’, ‘Leadership’, ‘Flexibility’, and ‘Coh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formance and development culture components, which are ‘Focus on student outcomes’, ‘Clear understanding of effective teaching’, ‘Leadership’, ‘Flexibility’, and ‘Coher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5019675"/>
                    </a:xfrm>
                    <a:prstGeom prst="rect">
                      <a:avLst/>
                    </a:prstGeom>
                    <a:noFill/>
                    <a:ln>
                      <a:noFill/>
                    </a:ln>
                  </pic:spPr>
                </pic:pic>
              </a:graphicData>
            </a:graphic>
          </wp:inline>
        </w:drawing>
      </w:r>
    </w:p>
    <w:p w14:paraId="5A99BF47" w14:textId="77777777" w:rsidR="00527721" w:rsidRDefault="00527721">
      <w:pPr>
        <w:pStyle w:val="NormalWeb"/>
        <w:divId w:val="886918832"/>
        <w:rPr>
          <w:rFonts w:ascii="Arial" w:hAnsi="Arial" w:cs="Arial"/>
          <w:lang w:val="en"/>
        </w:rPr>
      </w:pPr>
      <w:r>
        <w:rPr>
          <w:rFonts w:ascii="Arial" w:hAnsi="Arial" w:cs="Arial"/>
          <w:lang w:val="en"/>
        </w:rPr>
        <w:t xml:space="preserve">To introduce and sustain effective performance and development, a culture must exist among leaders and teachers that promotes feedback and is serious about performance and development. A culture that supports effective professional learning and the routine practice of performance and development will be characterised by: </w:t>
      </w:r>
    </w:p>
    <w:p w14:paraId="574BFB88"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r>
        <w:rPr>
          <w:rFonts w:ascii="Arial" w:eastAsia="Times New Roman" w:hAnsi="Arial" w:cs="Arial"/>
          <w:sz w:val="22"/>
          <w:szCs w:val="22"/>
          <w:lang w:val="en"/>
        </w:rPr>
        <w:t>a high degree of leadership support for ongoing adult learning and risk taking</w:t>
      </w:r>
    </w:p>
    <w:p w14:paraId="18FD6A19"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r>
        <w:rPr>
          <w:rFonts w:ascii="Arial" w:eastAsia="Times New Roman" w:hAnsi="Arial" w:cs="Arial"/>
          <w:sz w:val="22"/>
          <w:szCs w:val="22"/>
          <w:lang w:val="en"/>
        </w:rPr>
        <w:t>collective responsibility for improving practice</w:t>
      </w:r>
    </w:p>
    <w:p w14:paraId="4CDC04D1"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r>
        <w:rPr>
          <w:rFonts w:ascii="Arial" w:eastAsia="Times New Roman" w:hAnsi="Arial" w:cs="Arial"/>
          <w:sz w:val="22"/>
          <w:szCs w:val="22"/>
          <w:lang w:val="en"/>
        </w:rPr>
        <w:t>disciplined collaboration aimed at specific and relevant goals that relate to the learning needs of students</w:t>
      </w:r>
    </w:p>
    <w:p w14:paraId="2FB1A78F"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proofErr w:type="gramStart"/>
      <w:r>
        <w:rPr>
          <w:rFonts w:ascii="Arial" w:eastAsia="Times New Roman" w:hAnsi="Arial" w:cs="Arial"/>
          <w:sz w:val="22"/>
          <w:szCs w:val="22"/>
          <w:lang w:val="en"/>
        </w:rPr>
        <w:t>high levels</w:t>
      </w:r>
      <w:proofErr w:type="gramEnd"/>
      <w:r>
        <w:rPr>
          <w:rFonts w:ascii="Arial" w:eastAsia="Times New Roman" w:hAnsi="Arial" w:cs="Arial"/>
          <w:sz w:val="22"/>
          <w:szCs w:val="22"/>
          <w:lang w:val="en"/>
        </w:rPr>
        <w:t xml:space="preserve"> of trust, </w:t>
      </w:r>
      <w:proofErr w:type="gramStart"/>
      <w:r>
        <w:rPr>
          <w:rFonts w:ascii="Arial" w:eastAsia="Times New Roman" w:hAnsi="Arial" w:cs="Arial"/>
          <w:sz w:val="22"/>
          <w:szCs w:val="22"/>
          <w:lang w:val="en"/>
        </w:rPr>
        <w:t>interaction</w:t>
      </w:r>
      <w:proofErr w:type="gramEnd"/>
      <w:r>
        <w:rPr>
          <w:rFonts w:ascii="Arial" w:eastAsia="Times New Roman" w:hAnsi="Arial" w:cs="Arial"/>
          <w:sz w:val="22"/>
          <w:szCs w:val="22"/>
          <w:lang w:val="en"/>
        </w:rPr>
        <w:t xml:space="preserve"> and inter-dependence</w:t>
      </w:r>
    </w:p>
    <w:p w14:paraId="4D75E66D"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r>
        <w:rPr>
          <w:rFonts w:ascii="Arial" w:eastAsia="Times New Roman" w:hAnsi="Arial" w:cs="Arial"/>
          <w:sz w:val="22"/>
          <w:szCs w:val="22"/>
          <w:lang w:val="en"/>
        </w:rPr>
        <w:t xml:space="preserve">support for professional learning through school structures, explicit </w:t>
      </w:r>
      <w:proofErr w:type="gramStart"/>
      <w:r>
        <w:rPr>
          <w:rFonts w:ascii="Arial" w:eastAsia="Times New Roman" w:hAnsi="Arial" w:cs="Arial"/>
          <w:sz w:val="22"/>
          <w:szCs w:val="22"/>
          <w:lang w:val="en"/>
        </w:rPr>
        <w:t>planning</w:t>
      </w:r>
      <w:proofErr w:type="gramEnd"/>
      <w:r>
        <w:rPr>
          <w:rFonts w:ascii="Arial" w:eastAsia="Times New Roman" w:hAnsi="Arial" w:cs="Arial"/>
          <w:sz w:val="22"/>
          <w:szCs w:val="22"/>
          <w:lang w:val="en"/>
        </w:rPr>
        <w:t xml:space="preserve"> and the allocation of time</w:t>
      </w:r>
    </w:p>
    <w:p w14:paraId="3F15B665" w14:textId="77777777" w:rsidR="00527721" w:rsidRDefault="00527721">
      <w:pPr>
        <w:numPr>
          <w:ilvl w:val="0"/>
          <w:numId w:val="1"/>
        </w:numPr>
        <w:spacing w:before="100" w:beforeAutospacing="1" w:after="120" w:line="240" w:lineRule="auto"/>
        <w:divId w:val="886918832"/>
        <w:rPr>
          <w:rFonts w:ascii="Arial" w:eastAsia="Times New Roman" w:hAnsi="Arial" w:cs="Arial"/>
          <w:sz w:val="22"/>
          <w:szCs w:val="22"/>
          <w:lang w:val="en"/>
        </w:rPr>
      </w:pPr>
      <w:r>
        <w:rPr>
          <w:rFonts w:ascii="Arial" w:eastAsia="Times New Roman" w:hAnsi="Arial" w:cs="Arial"/>
          <w:sz w:val="22"/>
          <w:szCs w:val="22"/>
          <w:lang w:val="en"/>
        </w:rPr>
        <w:t>a focus on the professional learning most likely to be effective in improving professional practice and learner outcomes.</w:t>
      </w:r>
    </w:p>
    <w:p w14:paraId="3F030F84" w14:textId="77777777" w:rsidR="00527721" w:rsidRDefault="00527721">
      <w:pPr>
        <w:spacing w:after="0" w:line="264" w:lineRule="auto"/>
        <w:divId w:val="1910845845"/>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Read the </w:t>
      </w:r>
      <w:hyperlink r:id="rId11" w:tgtFrame="_blank" w:history="1">
        <w:r>
          <w:rPr>
            <w:rStyle w:val="Hyperlink"/>
            <w:rFonts w:ascii="Arial" w:hAnsi="Arial" w:cs="Arial"/>
            <w:sz w:val="18"/>
            <w:szCs w:val="18"/>
            <w:lang w:val="en"/>
          </w:rPr>
          <w:t xml:space="preserve">Australian Teacher Performance and Development Framework </w:t>
        </w:r>
      </w:hyperlink>
    </w:p>
    <w:p w14:paraId="73771816" w14:textId="77777777" w:rsidR="00527721" w:rsidRDefault="00527721">
      <w:pPr>
        <w:pStyle w:val="Heading3"/>
        <w:divId w:val="886918832"/>
        <w:rPr>
          <w:rFonts w:ascii="Arial" w:eastAsia="Times New Roman" w:hAnsi="Arial" w:cs="Arial"/>
          <w:lang w:val="en"/>
        </w:rPr>
      </w:pPr>
      <w:r>
        <w:rPr>
          <w:rFonts w:ascii="Arial" w:eastAsia="Times New Roman" w:hAnsi="Arial" w:cs="Arial"/>
          <w:lang w:val="en"/>
        </w:rPr>
        <w:lastRenderedPageBreak/>
        <w:t>Benefits of a performance and development culture for teachers and leaders</w:t>
      </w:r>
    </w:p>
    <w:p w14:paraId="3AE3FBBA" w14:textId="77777777" w:rsidR="00527721" w:rsidRDefault="00527721">
      <w:pPr>
        <w:pStyle w:val="NormalWeb"/>
        <w:divId w:val="126164343"/>
        <w:rPr>
          <w:rFonts w:ascii="Arial" w:hAnsi="Arial" w:cs="Arial"/>
          <w:lang w:val="en"/>
        </w:rPr>
      </w:pPr>
      <w:r>
        <w:rPr>
          <w:rStyle w:val="Strong"/>
          <w:rFonts w:ascii="Arial" w:hAnsi="Arial" w:cs="Arial"/>
          <w:lang w:val="en"/>
        </w:rPr>
        <w:t>Benefits for teachers</w:t>
      </w:r>
    </w:p>
    <w:p w14:paraId="573CF299"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supports whole-setting teacher improvement, leading to improved learner outcomes</w:t>
      </w:r>
    </w:p>
    <w:p w14:paraId="5833C43A"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develop understanding of and alignment with education setting’s improvement goals</w:t>
      </w:r>
    </w:p>
    <w:p w14:paraId="54FBCD72"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increased professional growth through coaching and mentoring</w:t>
      </w:r>
    </w:p>
    <w:p w14:paraId="5B05693A"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increase in professional satisfaction</w:t>
      </w:r>
    </w:p>
    <w:p w14:paraId="79A2B59A"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access to networks through system-wide collaboration</w:t>
      </w:r>
    </w:p>
    <w:p w14:paraId="721DC57C" w14:textId="77777777" w:rsidR="00527721" w:rsidRDefault="00527721">
      <w:pPr>
        <w:numPr>
          <w:ilvl w:val="0"/>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 xml:space="preserve">access to: </w:t>
      </w:r>
    </w:p>
    <w:p w14:paraId="7B2E1FA7" w14:textId="77777777" w:rsidR="00527721" w:rsidRDefault="00527721">
      <w:pPr>
        <w:numPr>
          <w:ilvl w:val="1"/>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relevant professional learning</w:t>
      </w:r>
    </w:p>
    <w:p w14:paraId="33814261" w14:textId="77777777" w:rsidR="00527721" w:rsidRDefault="00527721">
      <w:pPr>
        <w:numPr>
          <w:ilvl w:val="1"/>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targeted career goal setting</w:t>
      </w:r>
    </w:p>
    <w:p w14:paraId="00DC4EB2" w14:textId="77777777" w:rsidR="00527721" w:rsidRDefault="00527721">
      <w:pPr>
        <w:numPr>
          <w:ilvl w:val="1"/>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effective reflection and feedback</w:t>
      </w:r>
    </w:p>
    <w:p w14:paraId="1EC3B2C5" w14:textId="77777777" w:rsidR="00527721" w:rsidRDefault="00527721">
      <w:pPr>
        <w:numPr>
          <w:ilvl w:val="1"/>
          <w:numId w:val="2"/>
        </w:numPr>
        <w:spacing w:before="100" w:beforeAutospacing="1" w:after="120" w:line="240" w:lineRule="auto"/>
        <w:divId w:val="126164343"/>
        <w:rPr>
          <w:rFonts w:ascii="Arial" w:eastAsia="Times New Roman" w:hAnsi="Arial" w:cs="Arial"/>
          <w:sz w:val="22"/>
          <w:szCs w:val="22"/>
          <w:lang w:val="en"/>
        </w:rPr>
      </w:pPr>
      <w:r>
        <w:rPr>
          <w:rFonts w:ascii="Arial" w:eastAsia="Times New Roman" w:hAnsi="Arial" w:cs="Arial"/>
          <w:sz w:val="22"/>
          <w:szCs w:val="22"/>
          <w:lang w:val="en"/>
        </w:rPr>
        <w:t>collegial networks.</w:t>
      </w:r>
    </w:p>
    <w:p w14:paraId="54ADFA92" w14:textId="77777777" w:rsidR="00527721" w:rsidRDefault="00527721">
      <w:pPr>
        <w:pStyle w:val="NormalWeb"/>
        <w:divId w:val="1949197632"/>
        <w:rPr>
          <w:rFonts w:ascii="Arial" w:hAnsi="Arial" w:cs="Arial"/>
          <w:lang w:val="en"/>
        </w:rPr>
      </w:pPr>
      <w:r>
        <w:rPr>
          <w:rStyle w:val="Strong"/>
          <w:rFonts w:ascii="Arial" w:hAnsi="Arial" w:cs="Arial"/>
          <w:lang w:val="en"/>
        </w:rPr>
        <w:t>Benefits for leaders</w:t>
      </w:r>
    </w:p>
    <w:p w14:paraId="31729190"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drives a whole-setting approach to teacher improvement</w:t>
      </w:r>
    </w:p>
    <w:p w14:paraId="13470D4B"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drives improvement in education settings</w:t>
      </w:r>
    </w:p>
    <w:p w14:paraId="27D5B0C4"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develop whole-school improvement goals aimed at improving learner outcomes</w:t>
      </w:r>
    </w:p>
    <w:p w14:paraId="4BEB23B9"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promotes collaboration</w:t>
      </w:r>
    </w:p>
    <w:p w14:paraId="16C645DA"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encourages leadership at all levels</w:t>
      </w:r>
    </w:p>
    <w:p w14:paraId="4F728746"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promotes a shared commitment to excellence</w:t>
      </w:r>
    </w:p>
    <w:p w14:paraId="77BC626A"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shared understanding of effective teaching</w:t>
      </w:r>
    </w:p>
    <w:p w14:paraId="1118827C" w14:textId="77777777" w:rsidR="00527721" w:rsidRDefault="00527721">
      <w:pPr>
        <w:numPr>
          <w:ilvl w:val="0"/>
          <w:numId w:val="3"/>
        </w:numPr>
        <w:spacing w:before="100" w:beforeAutospacing="1" w:after="120" w:line="240" w:lineRule="auto"/>
        <w:divId w:val="1949197632"/>
        <w:rPr>
          <w:rFonts w:ascii="Arial" w:eastAsia="Times New Roman" w:hAnsi="Arial" w:cs="Arial"/>
          <w:sz w:val="22"/>
          <w:szCs w:val="22"/>
          <w:lang w:val="en"/>
        </w:rPr>
      </w:pPr>
      <w:r>
        <w:rPr>
          <w:rFonts w:ascii="Arial" w:eastAsia="Times New Roman" w:hAnsi="Arial" w:cs="Arial"/>
          <w:sz w:val="22"/>
          <w:szCs w:val="22"/>
          <w:lang w:val="en"/>
        </w:rPr>
        <w:t>promotes setting-wide processes for professional learning.</w:t>
      </w:r>
    </w:p>
    <w:p w14:paraId="745279D4" w14:textId="77777777" w:rsidR="00527721" w:rsidRDefault="00527721">
      <w:pPr>
        <w:spacing w:after="0" w:line="264" w:lineRule="auto"/>
        <w:divId w:val="1829595497"/>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12" w:history="1">
        <w:r>
          <w:rPr>
            <w:rStyle w:val="Hyperlink"/>
            <w:rFonts w:ascii="Arial" w:hAnsi="Arial" w:cs="Arial"/>
            <w:sz w:val="18"/>
            <w:szCs w:val="18"/>
            <w:lang w:val="en"/>
          </w:rPr>
          <w:t>Download a two-page factsheet</w:t>
        </w:r>
      </w:hyperlink>
    </w:p>
    <w:p w14:paraId="1B18AF5B"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Reflection</w:t>
      </w:r>
    </w:p>
    <w:p w14:paraId="1D0BFAEC" w14:textId="77777777" w:rsidR="00527721" w:rsidRDefault="00527721">
      <w:pPr>
        <w:pStyle w:val="NormalWeb"/>
        <w:divId w:val="306253143"/>
        <w:rPr>
          <w:rFonts w:ascii="Arial" w:hAnsi="Arial" w:cs="Arial"/>
          <w:lang w:val="en"/>
        </w:rPr>
      </w:pPr>
      <w:r>
        <w:rPr>
          <w:rFonts w:ascii="Arial" w:hAnsi="Arial" w:cs="Arial"/>
          <w:lang w:val="en"/>
        </w:rPr>
        <w:t xml:space="preserve">Which of the benefits listed above would make the biggest difference in your education setting? </w:t>
      </w:r>
    </w:p>
    <w:p w14:paraId="6FA5E06F" w14:textId="77777777" w:rsidR="00527721" w:rsidRDefault="00527721">
      <w:pPr>
        <w:pStyle w:val="user-notes"/>
        <w:spacing w:line="264" w:lineRule="auto"/>
        <w:divId w:val="306253143"/>
        <w:rPr>
          <w:rFonts w:ascii="Arial" w:hAnsi="Arial" w:cs="Arial"/>
          <w:color w:val="000000"/>
          <w:lang w:val="en"/>
        </w:rPr>
      </w:pPr>
      <w:r>
        <w:rPr>
          <w:rFonts w:ascii="Arial" w:hAnsi="Arial" w:cs="Arial"/>
          <w:color w:val="000000"/>
          <w:lang w:val="en"/>
        </w:rPr>
        <w:t> </w:t>
      </w:r>
    </w:p>
    <w:p w14:paraId="49A00513" w14:textId="77777777" w:rsidR="00527721" w:rsidRDefault="00527721">
      <w:pPr>
        <w:pStyle w:val="Heading3"/>
        <w:divId w:val="306253143"/>
        <w:rPr>
          <w:rFonts w:ascii="Arial" w:eastAsia="Times New Roman" w:hAnsi="Arial" w:cs="Arial"/>
          <w:lang w:val="en"/>
        </w:rPr>
      </w:pPr>
      <w:r>
        <w:rPr>
          <w:rFonts w:ascii="Arial" w:eastAsia="Times New Roman" w:hAnsi="Arial" w:cs="Arial"/>
          <w:lang w:val="en"/>
        </w:rPr>
        <w:t xml:space="preserve">The components of a performance and development culture </w:t>
      </w:r>
    </w:p>
    <w:p w14:paraId="1AEF8265" w14:textId="77777777" w:rsidR="00527721" w:rsidRDefault="00527721">
      <w:pPr>
        <w:pStyle w:val="NormalWeb"/>
        <w:divId w:val="306253143"/>
        <w:rPr>
          <w:rFonts w:ascii="Arial" w:hAnsi="Arial" w:cs="Arial"/>
          <w:lang w:val="en"/>
        </w:rPr>
      </w:pPr>
      <w:r>
        <w:rPr>
          <w:rStyle w:val="Strong"/>
          <w:rFonts w:ascii="Arial" w:hAnsi="Arial" w:cs="Arial"/>
          <w:lang w:val="en"/>
        </w:rPr>
        <w:t>Focus on student outcomes.</w:t>
      </w:r>
      <w:r>
        <w:rPr>
          <w:rFonts w:ascii="Arial" w:hAnsi="Arial" w:cs="Arial"/>
          <w:lang w:val="en"/>
        </w:rPr>
        <w:t xml:space="preserve"> Improving teaching is not an </w:t>
      </w:r>
      <w:proofErr w:type="gramStart"/>
      <w:r>
        <w:rPr>
          <w:rFonts w:ascii="Arial" w:hAnsi="Arial" w:cs="Arial"/>
          <w:lang w:val="en"/>
        </w:rPr>
        <w:t>end in itself, but</w:t>
      </w:r>
      <w:proofErr w:type="gramEnd"/>
      <w:r>
        <w:rPr>
          <w:rFonts w:ascii="Arial" w:hAnsi="Arial" w:cs="Arial"/>
          <w:lang w:val="en"/>
        </w:rPr>
        <w:t xml:space="preserve"> it </w:t>
      </w:r>
      <w:proofErr w:type="gramStart"/>
      <w:r>
        <w:rPr>
          <w:rFonts w:ascii="Arial" w:hAnsi="Arial" w:cs="Arial"/>
          <w:lang w:val="en"/>
        </w:rPr>
        <w:t>is aimed</w:t>
      </w:r>
      <w:proofErr w:type="gramEnd"/>
      <w:r>
        <w:rPr>
          <w:rFonts w:ascii="Arial" w:hAnsi="Arial" w:cs="Arial"/>
          <w:lang w:val="en"/>
        </w:rPr>
        <w:t xml:space="preserve"> at improving outcomes for learners. The Framework defines student outcomes broadly to include </w:t>
      </w:r>
      <w:r>
        <w:rPr>
          <w:rFonts w:ascii="Arial" w:hAnsi="Arial" w:cs="Arial"/>
          <w:lang w:val="en"/>
        </w:rPr>
        <w:lastRenderedPageBreak/>
        <w:t xml:space="preserve">student learning, engagement in learning, and wellbeing. These can </w:t>
      </w:r>
      <w:proofErr w:type="gramStart"/>
      <w:r>
        <w:rPr>
          <w:rFonts w:ascii="Arial" w:hAnsi="Arial" w:cs="Arial"/>
          <w:lang w:val="en"/>
        </w:rPr>
        <w:t>be measured</w:t>
      </w:r>
      <w:proofErr w:type="gramEnd"/>
      <w:r>
        <w:rPr>
          <w:rFonts w:ascii="Arial" w:hAnsi="Arial" w:cs="Arial"/>
          <w:lang w:val="en"/>
        </w:rPr>
        <w:t xml:space="preserve"> in a variety of ways.</w:t>
      </w:r>
    </w:p>
    <w:p w14:paraId="716A2405" w14:textId="494409B9" w:rsidR="00527721" w:rsidRDefault="00527721">
      <w:pPr>
        <w:pStyle w:val="NormalWeb"/>
        <w:divId w:val="306253143"/>
        <w:rPr>
          <w:rFonts w:ascii="Arial" w:hAnsi="Arial" w:cs="Arial"/>
          <w:lang w:val="en"/>
        </w:rPr>
      </w:pPr>
      <w:r>
        <w:rPr>
          <w:rStyle w:val="Strong"/>
          <w:rFonts w:ascii="Arial" w:hAnsi="Arial" w:cs="Arial"/>
          <w:lang w:val="en"/>
        </w:rPr>
        <w:t>Clear understanding of effective teaching.</w:t>
      </w:r>
      <w:r>
        <w:rPr>
          <w:rFonts w:ascii="Arial" w:hAnsi="Arial" w:cs="Arial"/>
          <w:lang w:val="en"/>
        </w:rPr>
        <w:t xml:space="preserve"> The Australian Professional Standards for Teachers (the </w:t>
      </w:r>
      <w:r w:rsidR="00FF6FAB">
        <w:rPr>
          <w:rFonts w:ascii="Arial" w:hAnsi="Arial" w:cs="Arial"/>
          <w:lang w:val="en"/>
        </w:rPr>
        <w:t xml:space="preserve">Teacher </w:t>
      </w:r>
      <w:r>
        <w:rPr>
          <w:rFonts w:ascii="Arial" w:hAnsi="Arial" w:cs="Arial"/>
          <w:lang w:val="en"/>
        </w:rPr>
        <w:t xml:space="preserve">Standards) outline what teachers should know and be able to do at four career stages. The </w:t>
      </w:r>
      <w:r w:rsidR="00FF6FAB">
        <w:rPr>
          <w:rFonts w:ascii="Arial" w:hAnsi="Arial" w:cs="Arial"/>
          <w:lang w:val="en"/>
        </w:rPr>
        <w:t xml:space="preserve">Teacher </w:t>
      </w:r>
      <w:r>
        <w:rPr>
          <w:rFonts w:ascii="Arial" w:hAnsi="Arial" w:cs="Arial"/>
          <w:lang w:val="en"/>
        </w:rPr>
        <w:t>Standards provide the basis and a common language for coming to a shared understanding of what effective teaching looks like, in the context of a particular education setting at a particular time.</w:t>
      </w:r>
    </w:p>
    <w:p w14:paraId="0FF4D106" w14:textId="77777777" w:rsidR="00527721" w:rsidRDefault="00527721">
      <w:pPr>
        <w:pStyle w:val="NormalWeb"/>
        <w:divId w:val="306253143"/>
        <w:rPr>
          <w:rFonts w:ascii="Arial" w:hAnsi="Arial" w:cs="Arial"/>
          <w:lang w:val="en"/>
        </w:rPr>
      </w:pPr>
      <w:r>
        <w:rPr>
          <w:rStyle w:val="Strong"/>
          <w:rFonts w:ascii="Arial" w:hAnsi="Arial" w:cs="Arial"/>
          <w:lang w:val="en"/>
        </w:rPr>
        <w:t>Leadership.</w:t>
      </w:r>
      <w:r>
        <w:rPr>
          <w:rFonts w:ascii="Arial" w:hAnsi="Arial" w:cs="Arial"/>
          <w:lang w:val="en"/>
        </w:rPr>
        <w:t xml:space="preserve"> Research is clear on the critical role of leaders in creating a culture of performance and development. While principals have </w:t>
      </w:r>
      <w:proofErr w:type="gramStart"/>
      <w:r>
        <w:rPr>
          <w:rFonts w:ascii="Arial" w:hAnsi="Arial" w:cs="Arial"/>
          <w:lang w:val="en"/>
        </w:rPr>
        <w:t>a central role</w:t>
      </w:r>
      <w:proofErr w:type="gramEnd"/>
      <w:r>
        <w:rPr>
          <w:rFonts w:ascii="Arial" w:hAnsi="Arial" w:cs="Arial"/>
          <w:lang w:val="en"/>
        </w:rPr>
        <w:t xml:space="preserve">, a truly effective approach has a shared commitment from teachers for their own – and each other’s – development. </w:t>
      </w:r>
    </w:p>
    <w:p w14:paraId="3E039ABD" w14:textId="77777777" w:rsidR="00527721" w:rsidRDefault="00527721">
      <w:pPr>
        <w:pStyle w:val="NormalWeb"/>
        <w:divId w:val="306253143"/>
        <w:rPr>
          <w:rFonts w:ascii="Arial" w:hAnsi="Arial" w:cs="Arial"/>
          <w:lang w:val="en"/>
        </w:rPr>
      </w:pPr>
      <w:r>
        <w:rPr>
          <w:rStyle w:val="Strong"/>
          <w:rFonts w:ascii="Arial" w:hAnsi="Arial" w:cs="Arial"/>
          <w:lang w:val="en"/>
        </w:rPr>
        <w:t>Flexibility.</w:t>
      </w:r>
      <w:r>
        <w:rPr>
          <w:rFonts w:ascii="Arial" w:hAnsi="Arial" w:cs="Arial"/>
          <w:lang w:val="en"/>
        </w:rPr>
        <w:t xml:space="preserve"> All education settings have different contexts and histories. There </w:t>
      </w:r>
      <w:proofErr w:type="gramStart"/>
      <w:r>
        <w:rPr>
          <w:rFonts w:ascii="Arial" w:hAnsi="Arial" w:cs="Arial"/>
          <w:lang w:val="en"/>
        </w:rPr>
        <w:t>isn’t</w:t>
      </w:r>
      <w:proofErr w:type="gramEnd"/>
      <w:r>
        <w:rPr>
          <w:rFonts w:ascii="Arial" w:hAnsi="Arial" w:cs="Arial"/>
          <w:lang w:val="en"/>
        </w:rPr>
        <w:t xml:space="preserve"> a one-size-fits-all approach, and performance and development will look different across unique settings.</w:t>
      </w:r>
    </w:p>
    <w:p w14:paraId="2B540A0C" w14:textId="77777777" w:rsidR="00527721" w:rsidRDefault="00527721">
      <w:pPr>
        <w:pStyle w:val="NormalWeb"/>
        <w:divId w:val="306253143"/>
        <w:rPr>
          <w:rFonts w:ascii="Arial" w:hAnsi="Arial" w:cs="Arial"/>
          <w:lang w:val="en"/>
        </w:rPr>
      </w:pPr>
      <w:r>
        <w:rPr>
          <w:rStyle w:val="Strong"/>
          <w:rFonts w:ascii="Arial" w:hAnsi="Arial" w:cs="Arial"/>
          <w:lang w:val="en"/>
        </w:rPr>
        <w:t>Coherence.</w:t>
      </w:r>
      <w:r>
        <w:rPr>
          <w:rFonts w:ascii="Arial" w:hAnsi="Arial" w:cs="Arial"/>
          <w:lang w:val="en"/>
        </w:rPr>
        <w:t xml:space="preserve"> Goals and processes should reflect the overall approach to teaching and learning within an education setting and should be consistent with the existing plans and approaches.</w:t>
      </w:r>
    </w:p>
    <w:p w14:paraId="5212297A"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 xml:space="preserve">Reflection </w:t>
      </w:r>
    </w:p>
    <w:p w14:paraId="1DCE133A" w14:textId="77777777" w:rsidR="00527721" w:rsidRDefault="00527721">
      <w:pPr>
        <w:pStyle w:val="NormalWeb"/>
        <w:divId w:val="306253143"/>
        <w:rPr>
          <w:rFonts w:ascii="Arial" w:hAnsi="Arial" w:cs="Arial"/>
          <w:lang w:val="en"/>
        </w:rPr>
      </w:pPr>
      <w:r>
        <w:rPr>
          <w:rFonts w:ascii="Arial" w:hAnsi="Arial" w:cs="Arial"/>
          <w:lang w:val="en"/>
        </w:rPr>
        <w:t>Identify existing processes within your education setting that support the five components of a performance and development culture.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6"/>
        <w:gridCol w:w="6534"/>
      </w:tblGrid>
      <w:tr w:rsidR="002B5CCC" w14:paraId="4694D80C" w14:textId="77777777">
        <w:trPr>
          <w:divId w:val="1303537706"/>
          <w:tblHeader/>
          <w:tblCellSpacing w:w="15" w:type="dxa"/>
        </w:trPr>
        <w:tc>
          <w:tcPr>
            <w:tcW w:w="1500" w:type="pct"/>
            <w:vAlign w:val="center"/>
            <w:hideMark/>
          </w:tcPr>
          <w:p w14:paraId="05C44CC0" w14:textId="77777777" w:rsidR="00527721" w:rsidRDefault="00527721">
            <w:pPr>
              <w:jc w:val="center"/>
              <w:rPr>
                <w:rFonts w:ascii="Arial" w:eastAsia="Times New Roman" w:hAnsi="Arial" w:cs="Arial"/>
                <w:b/>
                <w:bCs/>
              </w:rPr>
            </w:pPr>
            <w:r>
              <w:rPr>
                <w:rFonts w:ascii="Arial" w:eastAsia="Times New Roman" w:hAnsi="Arial" w:cs="Arial"/>
                <w:b/>
                <w:bCs/>
              </w:rPr>
              <w:t>Component</w:t>
            </w:r>
          </w:p>
        </w:tc>
        <w:tc>
          <w:tcPr>
            <w:tcW w:w="0" w:type="auto"/>
            <w:vAlign w:val="center"/>
            <w:hideMark/>
          </w:tcPr>
          <w:p w14:paraId="56C10976" w14:textId="77777777" w:rsidR="00527721" w:rsidRDefault="00527721">
            <w:pPr>
              <w:jc w:val="center"/>
              <w:rPr>
                <w:rFonts w:ascii="Arial" w:eastAsia="Times New Roman" w:hAnsi="Arial" w:cs="Arial"/>
                <w:b/>
                <w:bCs/>
              </w:rPr>
            </w:pPr>
            <w:r>
              <w:rPr>
                <w:rFonts w:ascii="Arial" w:eastAsia="Times New Roman" w:hAnsi="Arial" w:cs="Arial"/>
                <w:b/>
                <w:bCs/>
              </w:rPr>
              <w:t>Examples</w:t>
            </w:r>
          </w:p>
        </w:tc>
      </w:tr>
      <w:tr w:rsidR="002B5CCC" w14:paraId="471CE41E" w14:textId="77777777">
        <w:trPr>
          <w:divId w:val="130353770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7311894" w14:textId="77777777" w:rsidR="00527721" w:rsidRDefault="00527721">
            <w:pPr>
              <w:rPr>
                <w:rFonts w:ascii="Arial" w:eastAsia="Times New Roman" w:hAnsi="Arial" w:cs="Arial"/>
              </w:rPr>
            </w:pPr>
            <w:r>
              <w:rPr>
                <w:rFonts w:ascii="Arial" w:eastAsia="Times New Roman" w:hAnsi="Arial" w:cs="Arial"/>
              </w:rPr>
              <w:t>Focus on student outcomes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188C5E7" w14:textId="77777777" w:rsidR="00527721" w:rsidRDefault="00527721">
            <w:pPr>
              <w:pStyle w:val="user-notes1"/>
              <w:rPr>
                <w:rFonts w:ascii="Arial" w:hAnsi="Arial" w:cs="Arial"/>
              </w:rPr>
            </w:pPr>
            <w:r>
              <w:rPr>
                <w:rFonts w:ascii="Arial" w:hAnsi="Arial" w:cs="Arial"/>
              </w:rPr>
              <w:t> </w:t>
            </w:r>
          </w:p>
        </w:tc>
      </w:tr>
      <w:tr w:rsidR="002B5CCC" w14:paraId="6BB6C43C" w14:textId="77777777">
        <w:trPr>
          <w:divId w:val="130353770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A682B64" w14:textId="77777777" w:rsidR="00527721" w:rsidRDefault="00527721">
            <w:pPr>
              <w:rPr>
                <w:rFonts w:ascii="Arial" w:eastAsia="Times New Roman" w:hAnsi="Arial" w:cs="Arial"/>
              </w:rPr>
            </w:pPr>
            <w:r>
              <w:rPr>
                <w:rFonts w:ascii="Arial" w:eastAsia="Times New Roman" w:hAnsi="Arial" w:cs="Arial"/>
              </w:rPr>
              <w:t>Clear understanding of effective teaching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95562A9" w14:textId="77777777" w:rsidR="00527721" w:rsidRDefault="00527721">
            <w:pPr>
              <w:pStyle w:val="user-notes1"/>
              <w:rPr>
                <w:rFonts w:ascii="Arial" w:hAnsi="Arial" w:cs="Arial"/>
              </w:rPr>
            </w:pPr>
            <w:r>
              <w:rPr>
                <w:rFonts w:ascii="Arial" w:hAnsi="Arial" w:cs="Arial"/>
              </w:rPr>
              <w:t> </w:t>
            </w:r>
          </w:p>
        </w:tc>
      </w:tr>
      <w:tr w:rsidR="002B5CCC" w14:paraId="3EF33767" w14:textId="77777777">
        <w:trPr>
          <w:divId w:val="130353770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D931FA4" w14:textId="77777777" w:rsidR="00527721" w:rsidRDefault="00527721">
            <w:pPr>
              <w:rPr>
                <w:rFonts w:ascii="Arial" w:eastAsia="Times New Roman" w:hAnsi="Arial" w:cs="Arial"/>
              </w:rPr>
            </w:pPr>
            <w:r>
              <w:rPr>
                <w:rFonts w:ascii="Arial" w:eastAsia="Times New Roman" w:hAnsi="Arial" w:cs="Arial"/>
              </w:rPr>
              <w:t>Leadership</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031BB81" w14:textId="77777777" w:rsidR="00527721" w:rsidRDefault="00527721">
            <w:pPr>
              <w:pStyle w:val="user-notes1"/>
              <w:rPr>
                <w:rFonts w:ascii="Arial" w:hAnsi="Arial" w:cs="Arial"/>
              </w:rPr>
            </w:pPr>
            <w:r>
              <w:rPr>
                <w:rFonts w:ascii="Arial" w:hAnsi="Arial" w:cs="Arial"/>
              </w:rPr>
              <w:t> </w:t>
            </w:r>
          </w:p>
        </w:tc>
      </w:tr>
      <w:tr w:rsidR="002B5CCC" w14:paraId="3349B972" w14:textId="77777777">
        <w:trPr>
          <w:divId w:val="130353770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3A147DB" w14:textId="77777777" w:rsidR="00527721" w:rsidRDefault="00527721">
            <w:pPr>
              <w:rPr>
                <w:rFonts w:ascii="Arial" w:eastAsia="Times New Roman" w:hAnsi="Arial" w:cs="Arial"/>
              </w:rPr>
            </w:pPr>
            <w:r>
              <w:rPr>
                <w:rFonts w:ascii="Arial" w:eastAsia="Times New Roman" w:hAnsi="Arial" w:cs="Arial"/>
              </w:rPr>
              <w:t>Flexibility</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D4E6371" w14:textId="77777777" w:rsidR="00527721" w:rsidRDefault="00527721">
            <w:pPr>
              <w:pStyle w:val="user-notes1"/>
              <w:rPr>
                <w:rFonts w:ascii="Arial" w:hAnsi="Arial" w:cs="Arial"/>
              </w:rPr>
            </w:pPr>
            <w:r>
              <w:rPr>
                <w:rFonts w:ascii="Arial" w:hAnsi="Arial" w:cs="Arial"/>
              </w:rPr>
              <w:t> </w:t>
            </w:r>
          </w:p>
        </w:tc>
      </w:tr>
      <w:tr w:rsidR="002B5CCC" w14:paraId="31D1299E" w14:textId="77777777">
        <w:trPr>
          <w:divId w:val="130353770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E5C2AA0" w14:textId="77777777" w:rsidR="00527721" w:rsidRDefault="00527721">
            <w:pPr>
              <w:rPr>
                <w:rFonts w:ascii="Arial" w:eastAsia="Times New Roman" w:hAnsi="Arial" w:cs="Arial"/>
              </w:rPr>
            </w:pPr>
            <w:r>
              <w:rPr>
                <w:rFonts w:ascii="Arial" w:eastAsia="Times New Roman" w:hAnsi="Arial" w:cs="Arial"/>
              </w:rPr>
              <w:t>Coherence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0DBF84B" w14:textId="77777777" w:rsidR="00527721" w:rsidRDefault="00527721">
            <w:pPr>
              <w:pStyle w:val="user-notes1"/>
              <w:rPr>
                <w:rFonts w:ascii="Arial" w:hAnsi="Arial" w:cs="Arial"/>
              </w:rPr>
            </w:pPr>
            <w:r>
              <w:rPr>
                <w:rFonts w:ascii="Arial" w:hAnsi="Arial" w:cs="Arial"/>
              </w:rPr>
              <w:t> </w:t>
            </w:r>
          </w:p>
        </w:tc>
      </w:tr>
    </w:tbl>
    <w:p w14:paraId="40365A1B" w14:textId="77777777" w:rsidR="00527721" w:rsidRDefault="00527721">
      <w:pPr>
        <w:pStyle w:val="Heading3"/>
        <w:divId w:val="306253143"/>
        <w:rPr>
          <w:rFonts w:ascii="Arial" w:eastAsia="Times New Roman" w:hAnsi="Arial" w:cs="Arial"/>
          <w:lang w:val="en"/>
        </w:rPr>
      </w:pPr>
      <w:r>
        <w:rPr>
          <w:rFonts w:ascii="Arial" w:eastAsia="Times New Roman" w:hAnsi="Arial" w:cs="Arial"/>
          <w:lang w:val="en"/>
        </w:rPr>
        <w:t xml:space="preserve">How do you grow and sustain a performance and development culture? </w:t>
      </w:r>
    </w:p>
    <w:p w14:paraId="002B9122" w14:textId="77777777" w:rsidR="00527721" w:rsidRDefault="00527721">
      <w:pPr>
        <w:pStyle w:val="NormalWeb"/>
        <w:divId w:val="306253143"/>
        <w:rPr>
          <w:rFonts w:ascii="Arial" w:hAnsi="Arial" w:cs="Arial"/>
          <w:lang w:val="en"/>
        </w:rPr>
      </w:pPr>
      <w:r>
        <w:rPr>
          <w:rFonts w:ascii="Arial" w:hAnsi="Arial" w:cs="Arial"/>
          <w:lang w:val="en"/>
        </w:rPr>
        <w:t xml:space="preserve">Education settings operate in different contexts and will have different starting points, with differing implementation needs. </w:t>
      </w:r>
    </w:p>
    <w:p w14:paraId="226B783B" w14:textId="77777777" w:rsidR="00527721" w:rsidRDefault="00527721">
      <w:pPr>
        <w:pStyle w:val="NormalWeb"/>
        <w:divId w:val="306253143"/>
        <w:rPr>
          <w:rFonts w:ascii="Arial" w:hAnsi="Arial" w:cs="Arial"/>
          <w:lang w:val="en"/>
        </w:rPr>
      </w:pPr>
      <w:r>
        <w:rPr>
          <w:rFonts w:ascii="Arial" w:hAnsi="Arial" w:cs="Arial"/>
          <w:lang w:val="en"/>
        </w:rPr>
        <w:lastRenderedPageBreak/>
        <w:t xml:space="preserve">It is in the ongoing work of implementation and culture change that the </w:t>
      </w:r>
      <w:proofErr w:type="gramStart"/>
      <w:r>
        <w:rPr>
          <w:rFonts w:ascii="Arial" w:hAnsi="Arial" w:cs="Arial"/>
          <w:lang w:val="en"/>
        </w:rPr>
        <w:t>real challenge</w:t>
      </w:r>
      <w:proofErr w:type="gramEnd"/>
      <w:r>
        <w:rPr>
          <w:rFonts w:ascii="Arial" w:hAnsi="Arial" w:cs="Arial"/>
          <w:lang w:val="en"/>
        </w:rPr>
        <w:t xml:space="preserve"> lies. There needs to be a strong commitment from, and extensive support for:</w:t>
      </w:r>
    </w:p>
    <w:p w14:paraId="0FF02FBA" w14:textId="77777777" w:rsidR="00527721" w:rsidRDefault="00527721">
      <w:pPr>
        <w:numPr>
          <w:ilvl w:val="0"/>
          <w:numId w:val="4"/>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education settings</w:t>
      </w:r>
    </w:p>
    <w:p w14:paraId="0C63AE97" w14:textId="77777777" w:rsidR="00527721" w:rsidRDefault="00527721">
      <w:pPr>
        <w:numPr>
          <w:ilvl w:val="0"/>
          <w:numId w:val="4"/>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groups of education settings</w:t>
      </w:r>
    </w:p>
    <w:p w14:paraId="672D9D49" w14:textId="77777777" w:rsidR="00527721" w:rsidRDefault="00527721">
      <w:pPr>
        <w:numPr>
          <w:ilvl w:val="0"/>
          <w:numId w:val="4"/>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teachers</w:t>
      </w:r>
    </w:p>
    <w:p w14:paraId="5BF7EFD4" w14:textId="77777777" w:rsidR="00527721" w:rsidRDefault="00527721">
      <w:pPr>
        <w:numPr>
          <w:ilvl w:val="0"/>
          <w:numId w:val="4"/>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leaders</w:t>
      </w:r>
    </w:p>
    <w:p w14:paraId="51B890F3" w14:textId="77777777" w:rsidR="00527721" w:rsidRDefault="00527721">
      <w:pPr>
        <w:numPr>
          <w:ilvl w:val="0"/>
          <w:numId w:val="4"/>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the wider education setting community.</w:t>
      </w:r>
    </w:p>
    <w:p w14:paraId="309D9A90" w14:textId="77777777" w:rsidR="00527721" w:rsidRDefault="00527721">
      <w:pPr>
        <w:pStyle w:val="NormalWeb"/>
        <w:divId w:val="306253143"/>
        <w:rPr>
          <w:rFonts w:ascii="Arial" w:hAnsi="Arial" w:cs="Arial"/>
          <w:lang w:val="en"/>
        </w:rPr>
      </w:pPr>
      <w:r>
        <w:rPr>
          <w:rFonts w:ascii="Arial" w:hAnsi="Arial" w:cs="Arial"/>
          <w:lang w:val="en"/>
        </w:rPr>
        <w:t>Monitoring and evaluation are also essential to sustained and successful implementation.</w:t>
      </w:r>
    </w:p>
    <w:p w14:paraId="293F4973"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Reflection</w:t>
      </w:r>
    </w:p>
    <w:p w14:paraId="7BF19106" w14:textId="77777777" w:rsidR="00527721" w:rsidRDefault="00527721">
      <w:pPr>
        <w:pStyle w:val="NormalWeb"/>
        <w:divId w:val="306253143"/>
        <w:rPr>
          <w:rFonts w:ascii="Arial" w:hAnsi="Arial" w:cs="Arial"/>
          <w:lang w:val="en"/>
        </w:rPr>
      </w:pPr>
      <w:r>
        <w:rPr>
          <w:rFonts w:ascii="Arial" w:hAnsi="Arial" w:cs="Arial"/>
          <w:lang w:val="en"/>
        </w:rPr>
        <w:t>What opportunities and potential barriers can you see in building on the performance and development culture within your education setting? How can you improve the processes currently in place?</w:t>
      </w:r>
    </w:p>
    <w:p w14:paraId="7D55819F" w14:textId="77777777" w:rsidR="00527721" w:rsidRDefault="00527721">
      <w:pPr>
        <w:pStyle w:val="user-notes"/>
        <w:spacing w:line="264" w:lineRule="auto"/>
        <w:divId w:val="306253143"/>
        <w:rPr>
          <w:rFonts w:ascii="Arial" w:hAnsi="Arial" w:cs="Arial"/>
          <w:color w:val="000000"/>
          <w:lang w:val="en"/>
        </w:rPr>
      </w:pPr>
      <w:r>
        <w:rPr>
          <w:rFonts w:ascii="Arial" w:hAnsi="Arial" w:cs="Arial"/>
          <w:color w:val="000000"/>
          <w:lang w:val="en"/>
        </w:rPr>
        <w:t> </w:t>
      </w:r>
    </w:p>
    <w:p w14:paraId="545AA713"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Professional conversation</w:t>
      </w:r>
    </w:p>
    <w:p w14:paraId="34C8568D" w14:textId="77777777" w:rsidR="00527721" w:rsidRDefault="00527721">
      <w:pPr>
        <w:pStyle w:val="NormalWeb"/>
        <w:divId w:val="306253143"/>
        <w:rPr>
          <w:rFonts w:ascii="Arial" w:hAnsi="Arial" w:cs="Arial"/>
          <w:lang w:val="en"/>
        </w:rPr>
      </w:pPr>
      <w:r>
        <w:rPr>
          <w:rFonts w:ascii="Arial" w:hAnsi="Arial" w:cs="Arial"/>
          <w:lang w:val="en"/>
        </w:rPr>
        <w:t xml:space="preserve">After spending time reflecting individually, seek out a colleague, </w:t>
      </w:r>
      <w:proofErr w:type="gramStart"/>
      <w:r>
        <w:rPr>
          <w:rFonts w:ascii="Arial" w:hAnsi="Arial" w:cs="Arial"/>
          <w:lang w:val="en"/>
        </w:rPr>
        <w:t>mentor</w:t>
      </w:r>
      <w:proofErr w:type="gramEnd"/>
      <w:r>
        <w:rPr>
          <w:rFonts w:ascii="Arial" w:hAnsi="Arial" w:cs="Arial"/>
          <w:lang w:val="en"/>
        </w:rPr>
        <w:t xml:space="preserve"> or leader to discuss your thoughts. Use the above questions and your responses to help structure the conversation.</w:t>
      </w:r>
    </w:p>
    <w:p w14:paraId="04AD201D" w14:textId="77777777" w:rsidR="00527721" w:rsidRDefault="00527721">
      <w:pPr>
        <w:pStyle w:val="Heading2"/>
        <w:divId w:val="306253143"/>
        <w:rPr>
          <w:rFonts w:ascii="Arial" w:eastAsia="Times New Roman" w:hAnsi="Arial" w:cs="Arial"/>
          <w:lang w:val="en"/>
        </w:rPr>
      </w:pPr>
      <w:r>
        <w:rPr>
          <w:rFonts w:ascii="Arial" w:eastAsia="Times New Roman" w:hAnsi="Arial" w:cs="Arial"/>
          <w:lang w:val="en"/>
        </w:rPr>
        <w:t>What is the performance and development cycle?</w:t>
      </w:r>
    </w:p>
    <w:p w14:paraId="00B5B78E" w14:textId="77777777" w:rsidR="00527721" w:rsidRDefault="00527721">
      <w:pPr>
        <w:pStyle w:val="NormalWeb"/>
        <w:divId w:val="306253143"/>
        <w:rPr>
          <w:rFonts w:ascii="Arial" w:hAnsi="Arial" w:cs="Arial"/>
          <w:lang w:val="en"/>
        </w:rPr>
      </w:pPr>
      <w:r>
        <w:rPr>
          <w:rFonts w:ascii="Arial" w:hAnsi="Arial" w:cs="Arial"/>
          <w:lang w:val="en"/>
        </w:rPr>
        <w:t xml:space="preserve">The teacher performance and development cycle provides a structure for developing and refining teaching practice. The three components of the cycle are interdependent and may not necessarily occur in a set order, or take equal time, but the cycle provides a useful way to structure your thinking about how to improve practice. The components </w:t>
      </w:r>
      <w:proofErr w:type="gramStart"/>
      <w:r>
        <w:rPr>
          <w:rFonts w:ascii="Arial" w:hAnsi="Arial" w:cs="Arial"/>
          <w:lang w:val="en"/>
        </w:rPr>
        <w:t>are highlighted</w:t>
      </w:r>
      <w:proofErr w:type="gramEnd"/>
      <w:r>
        <w:rPr>
          <w:rFonts w:ascii="Arial" w:hAnsi="Arial" w:cs="Arial"/>
          <w:lang w:val="en"/>
        </w:rPr>
        <w:t xml:space="preserve"> in light green here:</w:t>
      </w:r>
    </w:p>
    <w:p w14:paraId="564F6CD8" w14:textId="77777777" w:rsidR="00527721" w:rsidRDefault="00527721">
      <w:pPr>
        <w:divId w:val="1678843084"/>
        <w:rPr>
          <w:rFonts w:ascii="Arial" w:eastAsia="Times New Roman" w:hAnsi="Arial" w:cs="Arial"/>
          <w:lang w:val="en"/>
        </w:rPr>
      </w:pPr>
      <w:r>
        <w:rPr>
          <w:rFonts w:ascii="Arial" w:eastAsia="Times New Roman" w:hAnsi="Arial" w:cs="Arial"/>
          <w:noProof/>
          <w:lang w:val="en"/>
        </w:rPr>
        <w:lastRenderedPageBreak/>
        <w:drawing>
          <wp:inline distT="0" distB="0" distL="0" distR="0" wp14:anchorId="7BACF26A" wp14:editId="34DCC871">
            <wp:extent cx="4572000" cy="5019675"/>
            <wp:effectExtent l="0" t="0" r="0" b="9525"/>
            <wp:docPr id="3" name="Picture 3" descr="Performance and development cycle components, which are ‘Reflection and goal setting’, ‘Feedback and review’, and ‘Professional practice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formance and development cycle components, which are ‘Reflection and goal setting’, ‘Feedback and review’, and ‘Professional practice and lear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5019675"/>
                    </a:xfrm>
                    <a:prstGeom prst="rect">
                      <a:avLst/>
                    </a:prstGeom>
                    <a:noFill/>
                    <a:ln>
                      <a:noFill/>
                    </a:ln>
                  </pic:spPr>
                </pic:pic>
              </a:graphicData>
            </a:graphic>
          </wp:inline>
        </w:drawing>
      </w:r>
    </w:p>
    <w:p w14:paraId="400F8565" w14:textId="77777777" w:rsidR="00527721" w:rsidRDefault="00527721">
      <w:pPr>
        <w:pStyle w:val="NormalWeb"/>
        <w:divId w:val="306253143"/>
        <w:rPr>
          <w:rFonts w:ascii="Arial" w:hAnsi="Arial" w:cs="Arial"/>
          <w:lang w:val="en"/>
        </w:rPr>
      </w:pPr>
      <w:r>
        <w:rPr>
          <w:rStyle w:val="Strong"/>
          <w:rFonts w:ascii="Arial" w:hAnsi="Arial" w:cs="Arial"/>
          <w:lang w:val="en"/>
        </w:rPr>
        <w:t>Reflection and goal setting,</w:t>
      </w:r>
      <w:r>
        <w:rPr>
          <w:rFonts w:ascii="Arial" w:hAnsi="Arial" w:cs="Arial"/>
          <w:lang w:val="en"/>
        </w:rPr>
        <w:t xml:space="preserve"> with regular reviews of measurable goals. Goals should align to an education setting’s shared view on effective teaching and should take teacher reflection into account. </w:t>
      </w:r>
    </w:p>
    <w:p w14:paraId="2E7D3A5A" w14:textId="77777777" w:rsidR="00527721" w:rsidRDefault="00527721">
      <w:pPr>
        <w:pStyle w:val="NormalWeb"/>
        <w:divId w:val="306253143"/>
        <w:rPr>
          <w:rFonts w:ascii="Arial" w:hAnsi="Arial" w:cs="Arial"/>
          <w:lang w:val="en"/>
        </w:rPr>
      </w:pPr>
      <w:r>
        <w:rPr>
          <w:rStyle w:val="Strong"/>
          <w:rFonts w:ascii="Arial" w:hAnsi="Arial" w:cs="Arial"/>
          <w:lang w:val="en"/>
        </w:rPr>
        <w:t>Professional practice and learning,</w:t>
      </w:r>
      <w:r>
        <w:rPr>
          <w:rFonts w:ascii="Arial" w:hAnsi="Arial" w:cs="Arial"/>
          <w:lang w:val="en"/>
        </w:rPr>
        <w:t xml:space="preserve"> meaning teachers will make a conscious effort to collect and reflect on evidence. It should occur in a context of frequent formal and informal feedback.</w:t>
      </w:r>
    </w:p>
    <w:p w14:paraId="15344D30" w14:textId="77777777" w:rsidR="00527721" w:rsidRDefault="00527721">
      <w:pPr>
        <w:pStyle w:val="NormalWeb"/>
        <w:divId w:val="306253143"/>
        <w:rPr>
          <w:rFonts w:ascii="Arial" w:hAnsi="Arial" w:cs="Arial"/>
          <w:lang w:val="en"/>
        </w:rPr>
      </w:pPr>
      <w:r>
        <w:rPr>
          <w:rStyle w:val="Strong"/>
          <w:rFonts w:ascii="Arial" w:hAnsi="Arial" w:cs="Arial"/>
          <w:lang w:val="en"/>
        </w:rPr>
        <w:t>Feedback and review,</w:t>
      </w:r>
      <w:r>
        <w:rPr>
          <w:rFonts w:ascii="Arial" w:hAnsi="Arial" w:cs="Arial"/>
          <w:lang w:val="en"/>
        </w:rPr>
        <w:t xml:space="preserve"> with feedback being timely, frequent and improvement focused. There should also be a formal annual performance and development review, including a full reflection on a teacher’s performance against their goals using multiple sources of evidence.</w:t>
      </w:r>
    </w:p>
    <w:p w14:paraId="1281F0A6"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Reflection</w:t>
      </w:r>
    </w:p>
    <w:p w14:paraId="1DF9CB5A" w14:textId="77777777" w:rsidR="00527721" w:rsidRDefault="00527721">
      <w:pPr>
        <w:pStyle w:val="NormalWeb"/>
        <w:divId w:val="306253143"/>
        <w:rPr>
          <w:rFonts w:ascii="Arial" w:hAnsi="Arial" w:cs="Arial"/>
          <w:lang w:val="en"/>
        </w:rPr>
      </w:pPr>
      <w:r>
        <w:rPr>
          <w:rFonts w:ascii="Arial" w:hAnsi="Arial" w:cs="Arial"/>
          <w:lang w:val="en"/>
        </w:rPr>
        <w:t>Identify existing processes within your education setting that support the three performance and development cycle practices outlined in the Framework.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6"/>
        <w:gridCol w:w="6534"/>
      </w:tblGrid>
      <w:tr w:rsidR="002B5CCC" w14:paraId="17F5F2FD" w14:textId="77777777">
        <w:trPr>
          <w:divId w:val="71197912"/>
          <w:tblHeader/>
          <w:tblCellSpacing w:w="15" w:type="dxa"/>
        </w:trPr>
        <w:tc>
          <w:tcPr>
            <w:tcW w:w="1500" w:type="pct"/>
            <w:vAlign w:val="center"/>
            <w:hideMark/>
          </w:tcPr>
          <w:p w14:paraId="12FAF445" w14:textId="77777777" w:rsidR="00527721" w:rsidRDefault="00527721">
            <w:pPr>
              <w:jc w:val="center"/>
              <w:rPr>
                <w:rFonts w:ascii="Arial" w:eastAsia="Times New Roman" w:hAnsi="Arial" w:cs="Arial"/>
                <w:b/>
                <w:bCs/>
              </w:rPr>
            </w:pPr>
            <w:r>
              <w:rPr>
                <w:rFonts w:ascii="Arial" w:eastAsia="Times New Roman" w:hAnsi="Arial" w:cs="Arial"/>
                <w:b/>
                <w:bCs/>
              </w:rPr>
              <w:lastRenderedPageBreak/>
              <w:t>Components</w:t>
            </w:r>
          </w:p>
        </w:tc>
        <w:tc>
          <w:tcPr>
            <w:tcW w:w="0" w:type="auto"/>
            <w:vAlign w:val="center"/>
            <w:hideMark/>
          </w:tcPr>
          <w:p w14:paraId="4079B3DD" w14:textId="77777777" w:rsidR="00527721" w:rsidRDefault="00527721">
            <w:pPr>
              <w:jc w:val="center"/>
              <w:rPr>
                <w:rFonts w:ascii="Arial" w:eastAsia="Times New Roman" w:hAnsi="Arial" w:cs="Arial"/>
                <w:b/>
                <w:bCs/>
              </w:rPr>
            </w:pPr>
            <w:r>
              <w:rPr>
                <w:rFonts w:ascii="Arial" w:eastAsia="Times New Roman" w:hAnsi="Arial" w:cs="Arial"/>
                <w:b/>
                <w:bCs/>
              </w:rPr>
              <w:t>Examples</w:t>
            </w:r>
          </w:p>
        </w:tc>
      </w:tr>
      <w:tr w:rsidR="002B5CCC" w14:paraId="2E617661" w14:textId="77777777">
        <w:trPr>
          <w:divId w:val="7119791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177953F" w14:textId="77777777" w:rsidR="00527721" w:rsidRDefault="00527721">
            <w:pPr>
              <w:rPr>
                <w:rFonts w:ascii="Arial" w:eastAsia="Times New Roman" w:hAnsi="Arial" w:cs="Arial"/>
              </w:rPr>
            </w:pPr>
            <w:r>
              <w:rPr>
                <w:rFonts w:ascii="Arial" w:eastAsia="Times New Roman" w:hAnsi="Arial" w:cs="Arial"/>
              </w:rPr>
              <w:t>Reflection and goal setting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3A57AB5" w14:textId="77777777" w:rsidR="00527721" w:rsidRDefault="00527721">
            <w:pPr>
              <w:pStyle w:val="user-notes1"/>
              <w:rPr>
                <w:rFonts w:ascii="Arial" w:hAnsi="Arial" w:cs="Arial"/>
              </w:rPr>
            </w:pPr>
            <w:r>
              <w:rPr>
                <w:rFonts w:ascii="Arial" w:hAnsi="Arial" w:cs="Arial"/>
              </w:rPr>
              <w:t> </w:t>
            </w:r>
          </w:p>
        </w:tc>
      </w:tr>
      <w:tr w:rsidR="002B5CCC" w14:paraId="672E2D47" w14:textId="77777777">
        <w:trPr>
          <w:divId w:val="7119791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C072E31" w14:textId="77777777" w:rsidR="00527721" w:rsidRDefault="00527721">
            <w:pPr>
              <w:rPr>
                <w:rFonts w:ascii="Arial" w:eastAsia="Times New Roman" w:hAnsi="Arial" w:cs="Arial"/>
              </w:rPr>
            </w:pPr>
            <w:r>
              <w:rPr>
                <w:rFonts w:ascii="Arial" w:eastAsia="Times New Roman" w:hAnsi="Arial" w:cs="Arial"/>
              </w:rPr>
              <w:t>Professional practice and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A840E86" w14:textId="77777777" w:rsidR="00527721" w:rsidRDefault="00527721">
            <w:pPr>
              <w:pStyle w:val="user-notes1"/>
              <w:rPr>
                <w:rFonts w:ascii="Arial" w:hAnsi="Arial" w:cs="Arial"/>
              </w:rPr>
            </w:pPr>
            <w:r>
              <w:rPr>
                <w:rFonts w:ascii="Arial" w:hAnsi="Arial" w:cs="Arial"/>
              </w:rPr>
              <w:t> </w:t>
            </w:r>
          </w:p>
        </w:tc>
      </w:tr>
      <w:tr w:rsidR="002B5CCC" w14:paraId="4564A894" w14:textId="77777777">
        <w:trPr>
          <w:divId w:val="7119791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18BEDA2" w14:textId="77777777" w:rsidR="00527721" w:rsidRDefault="00527721">
            <w:pPr>
              <w:rPr>
                <w:rFonts w:ascii="Arial" w:eastAsia="Times New Roman" w:hAnsi="Arial" w:cs="Arial"/>
              </w:rPr>
            </w:pPr>
            <w:r>
              <w:rPr>
                <w:rFonts w:ascii="Arial" w:eastAsia="Times New Roman" w:hAnsi="Arial" w:cs="Arial"/>
              </w:rPr>
              <w:t xml:space="preserve">Feedback and review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0284ED3" w14:textId="77777777" w:rsidR="00527721" w:rsidRDefault="00527721">
            <w:pPr>
              <w:pStyle w:val="user-notes1"/>
              <w:rPr>
                <w:rFonts w:ascii="Arial" w:hAnsi="Arial" w:cs="Arial"/>
              </w:rPr>
            </w:pPr>
            <w:r>
              <w:rPr>
                <w:rFonts w:ascii="Arial" w:hAnsi="Arial" w:cs="Arial"/>
              </w:rPr>
              <w:t> </w:t>
            </w:r>
          </w:p>
        </w:tc>
      </w:tr>
    </w:tbl>
    <w:p w14:paraId="41A40AE2" w14:textId="77777777" w:rsidR="00527721" w:rsidRDefault="00527721">
      <w:pPr>
        <w:pStyle w:val="Heading3"/>
        <w:divId w:val="306253143"/>
        <w:rPr>
          <w:rFonts w:ascii="Arial" w:eastAsia="Times New Roman" w:hAnsi="Arial" w:cs="Arial"/>
          <w:lang w:val="en"/>
        </w:rPr>
      </w:pPr>
      <w:r>
        <w:rPr>
          <w:rFonts w:ascii="Arial" w:eastAsia="Times New Roman" w:hAnsi="Arial" w:cs="Arial"/>
          <w:lang w:val="en"/>
        </w:rPr>
        <w:t>Essential elements for performance and development</w:t>
      </w:r>
    </w:p>
    <w:p w14:paraId="4D426721" w14:textId="77777777" w:rsidR="00527721" w:rsidRDefault="00527721">
      <w:pPr>
        <w:pStyle w:val="NormalWeb"/>
        <w:divId w:val="306253143"/>
        <w:rPr>
          <w:rFonts w:ascii="Arial" w:hAnsi="Arial" w:cs="Arial"/>
          <w:lang w:val="en"/>
        </w:rPr>
      </w:pPr>
      <w:r>
        <w:rPr>
          <w:rFonts w:ascii="Arial" w:hAnsi="Arial" w:cs="Arial"/>
          <w:lang w:val="en"/>
        </w:rPr>
        <w:t xml:space="preserve">There are four elements essential to an effective cycle of performance and development. These have </w:t>
      </w:r>
      <w:proofErr w:type="gramStart"/>
      <w:r>
        <w:rPr>
          <w:rFonts w:ascii="Arial" w:hAnsi="Arial" w:cs="Arial"/>
          <w:lang w:val="en"/>
        </w:rPr>
        <w:t>been distilled</w:t>
      </w:r>
      <w:proofErr w:type="gramEnd"/>
      <w:r>
        <w:rPr>
          <w:rFonts w:ascii="Arial" w:hAnsi="Arial" w:cs="Arial"/>
          <w:lang w:val="en"/>
        </w:rPr>
        <w:t xml:space="preserve"> from the research, practitioner </w:t>
      </w:r>
      <w:proofErr w:type="gramStart"/>
      <w:r>
        <w:rPr>
          <w:rFonts w:ascii="Arial" w:hAnsi="Arial" w:cs="Arial"/>
          <w:lang w:val="en"/>
        </w:rPr>
        <w:t>advice</w:t>
      </w:r>
      <w:proofErr w:type="gramEnd"/>
      <w:r>
        <w:rPr>
          <w:rFonts w:ascii="Arial" w:hAnsi="Arial" w:cs="Arial"/>
          <w:lang w:val="en"/>
        </w:rPr>
        <w:t xml:space="preserve"> and an analysis of current good practice.</w:t>
      </w:r>
    </w:p>
    <w:p w14:paraId="077B2D77" w14:textId="77777777" w:rsidR="00527721" w:rsidRDefault="00527721">
      <w:pPr>
        <w:pStyle w:val="NormalWeb"/>
        <w:divId w:val="306253143"/>
        <w:rPr>
          <w:rFonts w:ascii="Arial" w:hAnsi="Arial" w:cs="Arial"/>
          <w:lang w:val="en"/>
        </w:rPr>
      </w:pPr>
      <w:r>
        <w:rPr>
          <w:rStyle w:val="Strong"/>
          <w:rFonts w:ascii="Arial" w:hAnsi="Arial" w:cs="Arial"/>
          <w:lang w:val="en"/>
        </w:rPr>
        <w:t>Goal setting:</w:t>
      </w:r>
      <w:r>
        <w:rPr>
          <w:rFonts w:ascii="Arial" w:hAnsi="Arial" w:cs="Arial"/>
          <w:lang w:val="en"/>
        </w:rPr>
        <w:t xml:space="preserve"> All teachers have a set of documented and regularly reviewed goals related to both performance and development, and ways of measuring progress towards them, that </w:t>
      </w:r>
      <w:proofErr w:type="gramStart"/>
      <w:r>
        <w:rPr>
          <w:rFonts w:ascii="Arial" w:hAnsi="Arial" w:cs="Arial"/>
          <w:lang w:val="en"/>
        </w:rPr>
        <w:t>are agreed</w:t>
      </w:r>
      <w:proofErr w:type="gramEnd"/>
      <w:r>
        <w:rPr>
          <w:rFonts w:ascii="Arial" w:hAnsi="Arial" w:cs="Arial"/>
          <w:lang w:val="en"/>
        </w:rPr>
        <w:t xml:space="preserve"> with leadership.</w:t>
      </w:r>
    </w:p>
    <w:p w14:paraId="1B8BE4DB" w14:textId="77777777" w:rsidR="00527721" w:rsidRDefault="00527721">
      <w:pPr>
        <w:pStyle w:val="NormalWeb"/>
        <w:divId w:val="306253143"/>
        <w:rPr>
          <w:rFonts w:ascii="Arial" w:hAnsi="Arial" w:cs="Arial"/>
          <w:lang w:val="en"/>
        </w:rPr>
      </w:pPr>
      <w:r>
        <w:rPr>
          <w:rStyle w:val="Strong"/>
          <w:rFonts w:ascii="Arial" w:hAnsi="Arial" w:cs="Arial"/>
          <w:lang w:val="en"/>
        </w:rPr>
        <w:t>Professional support:</w:t>
      </w:r>
      <w:r>
        <w:rPr>
          <w:rFonts w:ascii="Arial" w:hAnsi="Arial" w:cs="Arial"/>
          <w:lang w:val="en"/>
        </w:rPr>
        <w:t xml:space="preserve"> All teachers </w:t>
      </w:r>
      <w:proofErr w:type="gramStart"/>
      <w:r>
        <w:rPr>
          <w:rFonts w:ascii="Arial" w:hAnsi="Arial" w:cs="Arial"/>
          <w:lang w:val="en"/>
        </w:rPr>
        <w:t>are supported</w:t>
      </w:r>
      <w:proofErr w:type="gramEnd"/>
      <w:r>
        <w:rPr>
          <w:rFonts w:ascii="Arial" w:hAnsi="Arial" w:cs="Arial"/>
          <w:lang w:val="en"/>
        </w:rPr>
        <w:t xml:space="preserve"> in working towards their goals, including through access to high-quality professional learning.</w:t>
      </w:r>
    </w:p>
    <w:p w14:paraId="60D768FE" w14:textId="77777777" w:rsidR="00527721" w:rsidRDefault="00527721">
      <w:pPr>
        <w:pStyle w:val="NormalWeb"/>
        <w:divId w:val="306253143"/>
        <w:rPr>
          <w:rFonts w:ascii="Arial" w:hAnsi="Arial" w:cs="Arial"/>
          <w:lang w:val="en"/>
        </w:rPr>
      </w:pPr>
      <w:r>
        <w:rPr>
          <w:rStyle w:val="Strong"/>
          <w:rFonts w:ascii="Arial" w:hAnsi="Arial" w:cs="Arial"/>
          <w:lang w:val="en"/>
        </w:rPr>
        <w:t>Evidence collection:</w:t>
      </w:r>
      <w:r>
        <w:rPr>
          <w:rFonts w:ascii="Arial" w:hAnsi="Arial" w:cs="Arial"/>
          <w:lang w:val="en"/>
        </w:rPr>
        <w:t xml:space="preserve"> Evidence used to reflect on and evaluate teacher performance, including through the formal review described in ‘Feedback and Review’, should come from multiple sources and include as a minimum: data showing impact on learner outcomes; information based on direct observation of teaching; and evidence of collaboration with colleagues.</w:t>
      </w:r>
    </w:p>
    <w:p w14:paraId="42E3C465" w14:textId="77777777" w:rsidR="00527721" w:rsidRDefault="00527721">
      <w:pPr>
        <w:pStyle w:val="NormalWeb"/>
        <w:divId w:val="306253143"/>
        <w:rPr>
          <w:rFonts w:ascii="Arial" w:hAnsi="Arial" w:cs="Arial"/>
          <w:lang w:val="en"/>
        </w:rPr>
      </w:pPr>
      <w:r>
        <w:rPr>
          <w:rStyle w:val="Strong"/>
          <w:rFonts w:ascii="Arial" w:hAnsi="Arial" w:cs="Arial"/>
          <w:lang w:val="en"/>
        </w:rPr>
        <w:t>Feedback and review:</w:t>
      </w:r>
      <w:r>
        <w:rPr>
          <w:rFonts w:ascii="Arial" w:hAnsi="Arial" w:cs="Arial"/>
          <w:lang w:val="en"/>
        </w:rPr>
        <w:t xml:space="preserve"> All teachers receive regular formal and informal feedback on their performance. This includes a formal review against their performance and development goals at least annually, with verbal and written feedback </w:t>
      </w:r>
      <w:proofErr w:type="gramStart"/>
      <w:r>
        <w:rPr>
          <w:rFonts w:ascii="Arial" w:hAnsi="Arial" w:cs="Arial"/>
          <w:lang w:val="en"/>
        </w:rPr>
        <w:t>being provided</w:t>
      </w:r>
      <w:proofErr w:type="gramEnd"/>
      <w:r>
        <w:rPr>
          <w:rFonts w:ascii="Arial" w:hAnsi="Arial" w:cs="Arial"/>
          <w:lang w:val="en"/>
        </w:rPr>
        <w:t xml:space="preserve"> to the teacher.</w:t>
      </w:r>
    </w:p>
    <w:p w14:paraId="36F234A7" w14:textId="77777777" w:rsidR="00527721" w:rsidRDefault="00527721">
      <w:pPr>
        <w:pStyle w:val="Heading2"/>
        <w:divId w:val="306253143"/>
        <w:rPr>
          <w:rFonts w:ascii="Arial" w:eastAsia="Times New Roman" w:hAnsi="Arial" w:cs="Arial"/>
          <w:lang w:val="en"/>
        </w:rPr>
      </w:pPr>
      <w:r>
        <w:rPr>
          <w:rFonts w:ascii="Arial" w:eastAsia="Times New Roman" w:hAnsi="Arial" w:cs="Arial"/>
          <w:lang w:val="en"/>
        </w:rPr>
        <w:t xml:space="preserve">What are the roles of teachers and leaders in implementing effective development? </w:t>
      </w:r>
    </w:p>
    <w:p w14:paraId="04DABBF8" w14:textId="77777777" w:rsidR="00527721" w:rsidRDefault="00527721">
      <w:pPr>
        <w:pStyle w:val="NormalWeb"/>
        <w:divId w:val="306253143"/>
        <w:rPr>
          <w:rFonts w:ascii="Arial" w:hAnsi="Arial" w:cs="Arial"/>
          <w:lang w:val="en"/>
        </w:rPr>
      </w:pPr>
      <w:r>
        <w:rPr>
          <w:rFonts w:ascii="Arial" w:hAnsi="Arial" w:cs="Arial"/>
          <w:lang w:val="en"/>
        </w:rPr>
        <w:t xml:space="preserve">Teachers, leaders, principals, </w:t>
      </w:r>
      <w:proofErr w:type="gramStart"/>
      <w:r>
        <w:rPr>
          <w:rFonts w:ascii="Arial" w:hAnsi="Arial" w:cs="Arial"/>
          <w:lang w:val="en"/>
        </w:rPr>
        <w:t>systems</w:t>
      </w:r>
      <w:proofErr w:type="gramEnd"/>
      <w:r>
        <w:rPr>
          <w:rFonts w:ascii="Arial" w:hAnsi="Arial" w:cs="Arial"/>
          <w:lang w:val="en"/>
        </w:rPr>
        <w:t xml:space="preserve"> and sectors have a shared responsibility to implement effective performance and development.</w:t>
      </w:r>
    </w:p>
    <w:p w14:paraId="5669CFA4" w14:textId="77777777" w:rsidR="00527721" w:rsidRDefault="00527721">
      <w:pPr>
        <w:numPr>
          <w:ilvl w:val="0"/>
          <w:numId w:val="5"/>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 xml:space="preserve">Development should </w:t>
      </w:r>
      <w:proofErr w:type="gramStart"/>
      <w:r>
        <w:rPr>
          <w:rFonts w:ascii="Arial" w:eastAsia="Times New Roman" w:hAnsi="Arial" w:cs="Arial"/>
          <w:sz w:val="22"/>
          <w:szCs w:val="22"/>
          <w:lang w:val="en"/>
        </w:rPr>
        <w:t>be well aligned</w:t>
      </w:r>
      <w:proofErr w:type="gramEnd"/>
      <w:r>
        <w:rPr>
          <w:rFonts w:ascii="Arial" w:eastAsia="Times New Roman" w:hAnsi="Arial" w:cs="Arial"/>
          <w:sz w:val="22"/>
          <w:szCs w:val="22"/>
          <w:lang w:val="en"/>
        </w:rPr>
        <w:t xml:space="preserve"> with other policies and processes at the national, </w:t>
      </w:r>
      <w:proofErr w:type="gramStart"/>
      <w:r>
        <w:rPr>
          <w:rFonts w:ascii="Arial" w:eastAsia="Times New Roman" w:hAnsi="Arial" w:cs="Arial"/>
          <w:sz w:val="22"/>
          <w:szCs w:val="22"/>
          <w:lang w:val="en"/>
        </w:rPr>
        <w:t>jurisdiction</w:t>
      </w:r>
      <w:proofErr w:type="gramEnd"/>
      <w:r>
        <w:rPr>
          <w:rFonts w:ascii="Arial" w:eastAsia="Times New Roman" w:hAnsi="Arial" w:cs="Arial"/>
          <w:sz w:val="22"/>
          <w:szCs w:val="22"/>
          <w:lang w:val="en"/>
        </w:rPr>
        <w:t xml:space="preserve">, </w:t>
      </w:r>
      <w:proofErr w:type="gramStart"/>
      <w:r>
        <w:rPr>
          <w:rFonts w:ascii="Arial" w:eastAsia="Times New Roman" w:hAnsi="Arial" w:cs="Arial"/>
          <w:sz w:val="22"/>
          <w:szCs w:val="22"/>
          <w:lang w:val="en"/>
        </w:rPr>
        <w:t>system</w:t>
      </w:r>
      <w:proofErr w:type="gramEnd"/>
      <w:r>
        <w:rPr>
          <w:rFonts w:ascii="Arial" w:eastAsia="Times New Roman" w:hAnsi="Arial" w:cs="Arial"/>
          <w:sz w:val="22"/>
          <w:szCs w:val="22"/>
          <w:lang w:val="en"/>
        </w:rPr>
        <w:t xml:space="preserve"> and education setting level. It should also reflect the needs and aspirations of the wider education setting community.</w:t>
      </w:r>
    </w:p>
    <w:p w14:paraId="344FA969" w14:textId="77777777" w:rsidR="00527721" w:rsidRDefault="00527721">
      <w:pPr>
        <w:numPr>
          <w:ilvl w:val="0"/>
          <w:numId w:val="5"/>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lastRenderedPageBreak/>
        <w:t>Development should support career progression, including through formal processes such as promotion and certification as a Highly Accomplished or Lead teacher.</w:t>
      </w:r>
    </w:p>
    <w:p w14:paraId="6F22EB05" w14:textId="77777777" w:rsidR="00527721" w:rsidRDefault="00527721">
      <w:pPr>
        <w:numPr>
          <w:ilvl w:val="0"/>
          <w:numId w:val="5"/>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Monitoring and evaluation, including feedback from the education setting community, fosters a sustained and successful implementation.</w:t>
      </w:r>
    </w:p>
    <w:p w14:paraId="299F22C4" w14:textId="77777777" w:rsidR="00527721" w:rsidRDefault="00527721">
      <w:pPr>
        <w:numPr>
          <w:ilvl w:val="0"/>
          <w:numId w:val="5"/>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 xml:space="preserve">Understanding of Indigenous perspectives and knowledge is critical to engage effectively with Aboriginal and Torres Strait Islander colleagues, learners, families, and communities. Leaders play </w:t>
      </w:r>
      <w:proofErr w:type="gramStart"/>
      <w:r>
        <w:rPr>
          <w:rFonts w:ascii="Arial" w:eastAsia="Times New Roman" w:hAnsi="Arial" w:cs="Arial"/>
          <w:sz w:val="22"/>
          <w:szCs w:val="22"/>
          <w:lang w:val="en"/>
        </w:rPr>
        <w:t>an important role</w:t>
      </w:r>
      <w:proofErr w:type="gramEnd"/>
      <w:r>
        <w:rPr>
          <w:rFonts w:ascii="Arial" w:eastAsia="Times New Roman" w:hAnsi="Arial" w:cs="Arial"/>
          <w:sz w:val="22"/>
          <w:szCs w:val="22"/>
          <w:lang w:val="en"/>
        </w:rPr>
        <w:t xml:space="preserve"> in monitoring where individual teachers and whole settings are on their continuum of cultural responsiveness.</w:t>
      </w:r>
    </w:p>
    <w:p w14:paraId="59058E18" w14:textId="77777777" w:rsidR="00527721" w:rsidRDefault="00527721">
      <w:pPr>
        <w:pStyle w:val="Heading2"/>
        <w:divId w:val="306253143"/>
        <w:rPr>
          <w:rFonts w:ascii="Arial" w:eastAsia="Times New Roman" w:hAnsi="Arial" w:cs="Arial"/>
          <w:lang w:val="en"/>
        </w:rPr>
      </w:pPr>
      <w:r>
        <w:rPr>
          <w:rFonts w:ascii="Arial" w:eastAsia="Times New Roman" w:hAnsi="Arial" w:cs="Arial"/>
          <w:lang w:val="en"/>
        </w:rPr>
        <w:t>The Australian Charter for Professional Learning of Teachers and School Leaders (the Charter)</w:t>
      </w:r>
    </w:p>
    <w:p w14:paraId="45292734" w14:textId="77777777" w:rsidR="00527721" w:rsidRDefault="00527721">
      <w:pPr>
        <w:pStyle w:val="NormalWeb"/>
        <w:divId w:val="306253143"/>
        <w:rPr>
          <w:rFonts w:ascii="Arial" w:hAnsi="Arial" w:cs="Arial"/>
          <w:lang w:val="en"/>
        </w:rPr>
      </w:pPr>
      <w:r>
        <w:rPr>
          <w:rFonts w:ascii="Arial" w:hAnsi="Arial" w:cs="Arial"/>
          <w:lang w:val="en"/>
        </w:rPr>
        <w:t>The Charter outlines what makes professional learning effective so it leads to improved learner outcomes in Australia.</w:t>
      </w:r>
    </w:p>
    <w:p w14:paraId="56D1D2BA" w14:textId="77777777" w:rsidR="00527721" w:rsidRDefault="00527721">
      <w:pPr>
        <w:divId w:val="1523974765"/>
        <w:rPr>
          <w:rFonts w:ascii="Arial" w:eastAsia="Times New Roman" w:hAnsi="Arial" w:cs="Arial"/>
          <w:lang w:val="en"/>
        </w:rPr>
      </w:pPr>
      <w:r>
        <w:rPr>
          <w:rFonts w:ascii="Arial" w:eastAsia="Times New Roman" w:hAnsi="Arial" w:cs="Arial"/>
          <w:noProof/>
          <w:lang w:val="en"/>
        </w:rPr>
        <w:drawing>
          <wp:inline distT="0" distB="0" distL="0" distR="0" wp14:anchorId="15025B50" wp14:editId="1675D1C0">
            <wp:extent cx="2590800" cy="3657600"/>
            <wp:effectExtent l="0" t="0" r="0" b="0"/>
            <wp:docPr id="4" name="Picture 4" descr="front cover of the Australian Charter for the Professional Learning of Teachers and School Lea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nt cover of the Australian Charter for the Professional Learning of Teachers and School Leader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3657600"/>
                    </a:xfrm>
                    <a:prstGeom prst="rect">
                      <a:avLst/>
                    </a:prstGeom>
                    <a:noFill/>
                    <a:ln>
                      <a:noFill/>
                    </a:ln>
                  </pic:spPr>
                </pic:pic>
              </a:graphicData>
            </a:graphic>
          </wp:inline>
        </w:drawing>
      </w:r>
    </w:p>
    <w:p w14:paraId="4A8E056F" w14:textId="77777777" w:rsidR="00527721" w:rsidRDefault="00527721">
      <w:pPr>
        <w:pStyle w:val="NormalWeb"/>
        <w:divId w:val="306253143"/>
        <w:rPr>
          <w:rFonts w:ascii="Arial" w:hAnsi="Arial" w:cs="Arial"/>
          <w:lang w:val="en"/>
        </w:rPr>
      </w:pPr>
      <w:r>
        <w:rPr>
          <w:rFonts w:ascii="Arial" w:hAnsi="Arial" w:cs="Arial"/>
          <w:lang w:val="en"/>
        </w:rPr>
        <w:t xml:space="preserve">The Charter </w:t>
      </w:r>
      <w:proofErr w:type="gramStart"/>
      <w:r>
        <w:rPr>
          <w:rFonts w:ascii="Arial" w:hAnsi="Arial" w:cs="Arial"/>
          <w:lang w:val="en"/>
        </w:rPr>
        <w:t>was informed</w:t>
      </w:r>
      <w:proofErr w:type="gramEnd"/>
      <w:r>
        <w:rPr>
          <w:rFonts w:ascii="Arial" w:hAnsi="Arial" w:cs="Arial"/>
          <w:lang w:val="en"/>
        </w:rPr>
        <w:t xml:space="preserve"> by research, national and international experts, and extensive consultation with professional associations and the broader education community.</w:t>
      </w:r>
    </w:p>
    <w:p w14:paraId="45734153" w14:textId="77777777" w:rsidR="00527721" w:rsidRDefault="00527721">
      <w:pPr>
        <w:pStyle w:val="NormalWeb"/>
        <w:divId w:val="306253143"/>
        <w:rPr>
          <w:rFonts w:ascii="Arial" w:hAnsi="Arial" w:cs="Arial"/>
          <w:lang w:val="en"/>
        </w:rPr>
      </w:pPr>
      <w:r>
        <w:rPr>
          <w:rFonts w:ascii="Arial" w:hAnsi="Arial" w:cs="Arial"/>
          <w:lang w:val="en"/>
        </w:rPr>
        <w:t xml:space="preserve">It works alongside the Framework to help teachers and leaders build a successful growth culture. </w:t>
      </w:r>
    </w:p>
    <w:p w14:paraId="719DEA5C" w14:textId="77777777" w:rsidR="00527721" w:rsidRDefault="00527721">
      <w:pPr>
        <w:pStyle w:val="Heading3"/>
        <w:divId w:val="306253143"/>
        <w:rPr>
          <w:rFonts w:ascii="Arial" w:eastAsia="Times New Roman" w:hAnsi="Arial" w:cs="Arial"/>
          <w:lang w:val="en"/>
        </w:rPr>
      </w:pPr>
      <w:r>
        <w:rPr>
          <w:rFonts w:ascii="Arial" w:eastAsia="Times New Roman" w:hAnsi="Arial" w:cs="Arial"/>
          <w:lang w:val="en"/>
        </w:rPr>
        <w:lastRenderedPageBreak/>
        <w:t>What does the Charter say about professional learning?</w:t>
      </w:r>
    </w:p>
    <w:p w14:paraId="5234CA20" w14:textId="77777777" w:rsidR="00527721" w:rsidRDefault="00527721">
      <w:pPr>
        <w:pStyle w:val="NormalWeb"/>
        <w:divId w:val="306253143"/>
        <w:rPr>
          <w:rFonts w:ascii="Arial" w:hAnsi="Arial" w:cs="Arial"/>
          <w:lang w:val="en"/>
        </w:rPr>
      </w:pPr>
      <w:r>
        <w:rPr>
          <w:rFonts w:ascii="Arial" w:hAnsi="Arial" w:cs="Arial"/>
          <w:lang w:val="en"/>
        </w:rPr>
        <w:t xml:space="preserve">Professional learning should support teachers to reflect on, </w:t>
      </w:r>
      <w:proofErr w:type="gramStart"/>
      <w:r>
        <w:rPr>
          <w:rFonts w:ascii="Arial" w:hAnsi="Arial" w:cs="Arial"/>
          <w:lang w:val="en"/>
        </w:rPr>
        <w:t>question</w:t>
      </w:r>
      <w:proofErr w:type="gramEnd"/>
      <w:r>
        <w:rPr>
          <w:rFonts w:ascii="Arial" w:hAnsi="Arial" w:cs="Arial"/>
          <w:lang w:val="en"/>
        </w:rPr>
        <w:t xml:space="preserve"> and consciously improve their practice. It is most effective when it is:</w:t>
      </w:r>
    </w:p>
    <w:p w14:paraId="4E3B0D75" w14:textId="77777777" w:rsidR="00527721" w:rsidRDefault="00527721">
      <w:pPr>
        <w:numPr>
          <w:ilvl w:val="0"/>
          <w:numId w:val="6"/>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relevant</w:t>
      </w:r>
    </w:p>
    <w:p w14:paraId="4A80278E" w14:textId="77777777" w:rsidR="00527721" w:rsidRDefault="00527721">
      <w:pPr>
        <w:numPr>
          <w:ilvl w:val="0"/>
          <w:numId w:val="6"/>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collaborative</w:t>
      </w:r>
    </w:p>
    <w:p w14:paraId="317A5B90" w14:textId="77777777" w:rsidR="00527721" w:rsidRDefault="00527721">
      <w:pPr>
        <w:numPr>
          <w:ilvl w:val="0"/>
          <w:numId w:val="6"/>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future-focused</w:t>
      </w:r>
    </w:p>
    <w:p w14:paraId="3E176925" w14:textId="77777777" w:rsidR="00527721" w:rsidRDefault="00527721">
      <w:pPr>
        <w:pStyle w:val="NormalWeb"/>
        <w:divId w:val="306253143"/>
        <w:rPr>
          <w:rFonts w:ascii="Arial" w:hAnsi="Arial" w:cs="Arial"/>
          <w:lang w:val="en"/>
        </w:rPr>
      </w:pPr>
      <w:r>
        <w:rPr>
          <w:rFonts w:ascii="Arial" w:hAnsi="Arial" w:cs="Arial"/>
          <w:lang w:val="en"/>
        </w:rPr>
        <w:t>Professional learning is most effective when it takes place within a culture where teachers and leaders:</w:t>
      </w:r>
    </w:p>
    <w:p w14:paraId="2329955F" w14:textId="77777777" w:rsidR="00527721" w:rsidRDefault="00527721">
      <w:pPr>
        <w:numPr>
          <w:ilvl w:val="0"/>
          <w:numId w:val="7"/>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 xml:space="preserve">expect and </w:t>
      </w:r>
      <w:proofErr w:type="gramStart"/>
      <w:r>
        <w:rPr>
          <w:rFonts w:ascii="Arial" w:eastAsia="Times New Roman" w:hAnsi="Arial" w:cs="Arial"/>
          <w:sz w:val="22"/>
          <w:szCs w:val="22"/>
          <w:lang w:val="en"/>
        </w:rPr>
        <w:t>are expected</w:t>
      </w:r>
      <w:proofErr w:type="gramEnd"/>
      <w:r>
        <w:rPr>
          <w:rFonts w:ascii="Arial" w:eastAsia="Times New Roman" w:hAnsi="Arial" w:cs="Arial"/>
          <w:sz w:val="22"/>
          <w:szCs w:val="22"/>
          <w:lang w:val="en"/>
        </w:rPr>
        <w:t xml:space="preserve"> to be active learners, </w:t>
      </w:r>
    </w:p>
    <w:p w14:paraId="0D542AB1" w14:textId="77777777" w:rsidR="00527721" w:rsidRDefault="00527721">
      <w:pPr>
        <w:numPr>
          <w:ilvl w:val="0"/>
          <w:numId w:val="7"/>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reflect on pedagogical practice</w:t>
      </w:r>
    </w:p>
    <w:p w14:paraId="70F67F38" w14:textId="77777777" w:rsidR="00527721" w:rsidRDefault="00527721">
      <w:pPr>
        <w:numPr>
          <w:ilvl w:val="0"/>
          <w:numId w:val="7"/>
        </w:numPr>
        <w:spacing w:before="100" w:beforeAutospacing="1" w:after="120" w:line="240" w:lineRule="auto"/>
        <w:divId w:val="306253143"/>
        <w:rPr>
          <w:rFonts w:ascii="Arial" w:eastAsia="Times New Roman" w:hAnsi="Arial" w:cs="Arial"/>
          <w:sz w:val="22"/>
          <w:szCs w:val="22"/>
          <w:lang w:val="en"/>
        </w:rPr>
      </w:pPr>
      <w:r>
        <w:rPr>
          <w:rFonts w:ascii="Arial" w:eastAsia="Times New Roman" w:hAnsi="Arial" w:cs="Arial"/>
          <w:sz w:val="22"/>
          <w:szCs w:val="22"/>
          <w:lang w:val="en"/>
        </w:rPr>
        <w:t>receive feedback on and improve their pedagogical practice.</w:t>
      </w:r>
    </w:p>
    <w:p w14:paraId="3B7B8D04" w14:textId="77777777" w:rsidR="00527721" w:rsidRDefault="00527721">
      <w:pPr>
        <w:pStyle w:val="NormalWeb"/>
        <w:divId w:val="306253143"/>
        <w:rPr>
          <w:rFonts w:ascii="Arial" w:hAnsi="Arial" w:cs="Arial"/>
          <w:lang w:val="en"/>
        </w:rPr>
      </w:pPr>
      <w:r>
        <w:rPr>
          <w:rFonts w:ascii="Arial" w:hAnsi="Arial" w:cs="Arial"/>
          <w:lang w:val="en"/>
        </w:rPr>
        <w:t xml:space="preserve">In embedding high quality professional learning practices within education settings, teachers and leaders work together to improve student outcomes. Ongoing learning is essential for teachers throughout their careers, to ensure they meet the current learning needs and aspirations of the diverse learners they teach and the diverse communities they work in. </w:t>
      </w:r>
    </w:p>
    <w:p w14:paraId="0DDDAE18" w14:textId="77777777" w:rsidR="00527721" w:rsidRDefault="00527721">
      <w:pPr>
        <w:pStyle w:val="NormalWeb"/>
        <w:divId w:val="306253143"/>
        <w:rPr>
          <w:rFonts w:ascii="Arial" w:hAnsi="Arial" w:cs="Arial"/>
          <w:lang w:val="en"/>
        </w:rPr>
      </w:pPr>
      <w:r>
        <w:rPr>
          <w:rFonts w:ascii="Arial" w:hAnsi="Arial" w:cs="Arial"/>
          <w:lang w:val="en"/>
        </w:rPr>
        <w:t xml:space="preserve">These characteristics of effective professional learning should </w:t>
      </w:r>
      <w:proofErr w:type="gramStart"/>
      <w:r>
        <w:rPr>
          <w:rFonts w:ascii="Arial" w:hAnsi="Arial" w:cs="Arial"/>
          <w:lang w:val="en"/>
        </w:rPr>
        <w:t>be considered</w:t>
      </w:r>
      <w:proofErr w:type="gramEnd"/>
      <w:r>
        <w:rPr>
          <w:rFonts w:ascii="Arial" w:hAnsi="Arial" w:cs="Arial"/>
          <w:lang w:val="en"/>
        </w:rPr>
        <w:t xml:space="preserve"> when selecting, reflecting on, or evaluating professional learning. </w:t>
      </w:r>
    </w:p>
    <w:p w14:paraId="0C6C87D1" w14:textId="77777777" w:rsidR="00527721" w:rsidRDefault="00527721">
      <w:pPr>
        <w:pStyle w:val="Heading5"/>
        <w:divId w:val="306253143"/>
        <w:rPr>
          <w:rFonts w:ascii="Arial" w:eastAsia="Times New Roman" w:hAnsi="Arial" w:cs="Arial"/>
          <w:lang w:val="en"/>
        </w:rPr>
      </w:pPr>
      <w:r>
        <w:rPr>
          <w:rFonts w:ascii="Arial" w:eastAsia="Times New Roman" w:hAnsi="Arial" w:cs="Arial"/>
          <w:lang w:val="en"/>
        </w:rPr>
        <w:t>Professional conversations</w:t>
      </w:r>
    </w:p>
    <w:p w14:paraId="3AA32023" w14:textId="77777777" w:rsidR="00527721" w:rsidRDefault="00527721">
      <w:pPr>
        <w:pStyle w:val="NormalWeb"/>
        <w:divId w:val="306253143"/>
        <w:rPr>
          <w:rFonts w:ascii="Arial" w:hAnsi="Arial" w:cs="Arial"/>
          <w:lang w:val="en"/>
        </w:rPr>
      </w:pPr>
      <w:r>
        <w:rPr>
          <w:rFonts w:ascii="Arial" w:hAnsi="Arial" w:cs="Arial"/>
          <w:lang w:val="en"/>
        </w:rPr>
        <w:t xml:space="preserve">Identify a colleague, leader or mentor to work through the </w:t>
      </w:r>
      <w:hyperlink r:id="rId15" w:tgtFrame="_blank" w:history="1">
        <w:r>
          <w:rPr>
            <w:rStyle w:val="Hyperlink"/>
            <w:rFonts w:ascii="Arial" w:hAnsi="Arial" w:cs="Arial"/>
            <w:lang w:val="en"/>
          </w:rPr>
          <w:t>Charter Stimulus cards</w:t>
        </w:r>
      </w:hyperlink>
      <w:r>
        <w:rPr>
          <w:rFonts w:ascii="Arial" w:hAnsi="Arial" w:cs="Arial"/>
          <w:lang w:val="en"/>
        </w:rPr>
        <w:t xml:space="preserve">. </w:t>
      </w:r>
    </w:p>
    <w:p w14:paraId="1F14B5EF" w14:textId="1553E63F" w:rsidR="00527721" w:rsidRDefault="00527721">
      <w:pPr>
        <w:spacing w:line="264" w:lineRule="auto"/>
        <w:divId w:val="1536893995"/>
        <w:rPr>
          <w:rFonts w:ascii="Arial" w:hAnsi="Arial" w:cs="Arial"/>
          <w:color w:val="767676"/>
          <w:sz w:val="18"/>
          <w:szCs w:val="18"/>
          <w:lang w:val="en"/>
        </w:rPr>
      </w:pPr>
      <w:r>
        <w:rPr>
          <w:rFonts w:ascii="Arial" w:hAnsi="Arial" w:cs="Arial"/>
          <w:b/>
          <w:bCs/>
          <w:color w:val="E27C04"/>
          <w:sz w:val="20"/>
          <w:szCs w:val="20"/>
          <w:lang w:val="en"/>
        </w:rPr>
        <w:t xml:space="preserve">Further reading: </w:t>
      </w:r>
      <w:hyperlink r:id="rId16" w:tgtFrame="_blank" w:history="1">
        <w:r>
          <w:rPr>
            <w:rStyle w:val="Hyperlink"/>
            <w:rFonts w:ascii="Arial" w:hAnsi="Arial" w:cs="Arial"/>
            <w:sz w:val="18"/>
            <w:szCs w:val="18"/>
            <w:lang w:val="en"/>
          </w:rPr>
          <w:t>The Australian Charter for the Professional Learning of Teachers and School Leaders</w:t>
        </w:r>
      </w:hyperlink>
      <w:r>
        <w:rPr>
          <w:rFonts w:ascii="Arial" w:hAnsi="Arial" w:cs="Arial"/>
          <w:color w:val="767676"/>
          <w:sz w:val="18"/>
          <w:szCs w:val="18"/>
          <w:lang w:val="en"/>
        </w:rPr>
        <w:t xml:space="preserve"> and </w:t>
      </w:r>
      <w:hyperlink r:id="rId17" w:tgtFrame="_blank" w:history="1">
        <w:r>
          <w:rPr>
            <w:rStyle w:val="Hyperlink"/>
            <w:rFonts w:ascii="Arial" w:hAnsi="Arial" w:cs="Arial"/>
            <w:sz w:val="18"/>
            <w:szCs w:val="18"/>
            <w:lang w:val="en"/>
          </w:rPr>
          <w:t>Performance and Development toolkit for teachers</w:t>
        </w:r>
      </w:hyperlink>
      <w:r>
        <w:rPr>
          <w:rFonts w:ascii="Arial" w:hAnsi="Arial" w:cs="Arial"/>
          <w:color w:val="767676"/>
          <w:sz w:val="18"/>
          <w:szCs w:val="18"/>
          <w:lang w:val="en"/>
        </w:rPr>
        <w:t xml:space="preserve"> overview</w:t>
      </w:r>
    </w:p>
    <w:p w14:paraId="789455C8" w14:textId="77777777" w:rsidR="00527721" w:rsidRDefault="00527721">
      <w:pPr>
        <w:pStyle w:val="Heading2"/>
        <w:divId w:val="306253143"/>
        <w:rPr>
          <w:rFonts w:ascii="Arial" w:eastAsia="Times New Roman" w:hAnsi="Arial" w:cs="Arial"/>
          <w:lang w:val="en"/>
        </w:rPr>
      </w:pPr>
      <w:r>
        <w:rPr>
          <w:rFonts w:ascii="Arial" w:eastAsia="Times New Roman" w:hAnsi="Arial" w:cs="Arial"/>
          <w:lang w:val="en"/>
        </w:rPr>
        <w:t>Resources and downloads</w:t>
      </w:r>
    </w:p>
    <w:p w14:paraId="6DABD031" w14:textId="77777777" w:rsidR="00527721" w:rsidRDefault="00527721">
      <w:pPr>
        <w:pStyle w:val="Heading4"/>
        <w:divId w:val="306253143"/>
        <w:rPr>
          <w:rFonts w:ascii="Arial" w:eastAsia="Times New Roman" w:hAnsi="Arial" w:cs="Arial"/>
          <w:lang w:val="en"/>
        </w:rPr>
      </w:pPr>
      <w:r>
        <w:rPr>
          <w:rFonts w:ascii="Arial" w:eastAsia="Times New Roman" w:hAnsi="Arial" w:cs="Arial"/>
          <w:lang w:val="en"/>
        </w:rPr>
        <w:t>National frameworks</w:t>
      </w:r>
    </w:p>
    <w:p w14:paraId="735ECF6C" w14:textId="77777777" w:rsidR="00527721" w:rsidRDefault="00527721">
      <w:pPr>
        <w:numPr>
          <w:ilvl w:val="0"/>
          <w:numId w:val="8"/>
        </w:numPr>
        <w:spacing w:before="100" w:beforeAutospacing="1" w:after="120" w:line="240" w:lineRule="auto"/>
        <w:divId w:val="306253143"/>
        <w:rPr>
          <w:rFonts w:ascii="Arial" w:eastAsia="Times New Roman" w:hAnsi="Arial" w:cs="Arial"/>
          <w:sz w:val="22"/>
          <w:szCs w:val="22"/>
          <w:lang w:val="en"/>
        </w:rPr>
      </w:pPr>
      <w:hyperlink r:id="rId18" w:history="1">
        <w:r>
          <w:rPr>
            <w:rStyle w:val="Hyperlink"/>
            <w:rFonts w:ascii="Arial" w:eastAsia="Times New Roman" w:hAnsi="Arial" w:cs="Arial"/>
            <w:sz w:val="22"/>
            <w:szCs w:val="22"/>
            <w:lang w:val="en"/>
          </w:rPr>
          <w:t xml:space="preserve">Australian Professional Standards for Teachers </w:t>
        </w:r>
      </w:hyperlink>
    </w:p>
    <w:p w14:paraId="17486A88" w14:textId="4EB4C76B" w:rsidR="00527721" w:rsidRDefault="00527721">
      <w:pPr>
        <w:numPr>
          <w:ilvl w:val="0"/>
          <w:numId w:val="8"/>
        </w:numPr>
        <w:spacing w:before="100" w:beforeAutospacing="1" w:after="120" w:line="240" w:lineRule="auto"/>
        <w:divId w:val="306253143"/>
        <w:rPr>
          <w:rFonts w:ascii="Arial" w:eastAsia="Times New Roman" w:hAnsi="Arial" w:cs="Arial"/>
          <w:sz w:val="22"/>
          <w:szCs w:val="22"/>
          <w:lang w:val="en"/>
        </w:rPr>
      </w:pPr>
      <w:hyperlink r:id="rId19" w:history="1">
        <w:r>
          <w:rPr>
            <w:rStyle w:val="Hyperlink"/>
            <w:rFonts w:ascii="Arial" w:eastAsia="Times New Roman" w:hAnsi="Arial" w:cs="Arial"/>
            <w:sz w:val="22"/>
            <w:szCs w:val="22"/>
            <w:lang w:val="en"/>
          </w:rPr>
          <w:t>Australian Professional Standard for Principals and the Leadership Profiles</w:t>
        </w:r>
      </w:hyperlink>
    </w:p>
    <w:p w14:paraId="502BA677" w14:textId="77777777" w:rsidR="00527721" w:rsidRDefault="00527721">
      <w:pPr>
        <w:numPr>
          <w:ilvl w:val="0"/>
          <w:numId w:val="8"/>
        </w:numPr>
        <w:spacing w:before="100" w:beforeAutospacing="1" w:after="120" w:line="240" w:lineRule="auto"/>
        <w:divId w:val="306253143"/>
        <w:rPr>
          <w:rFonts w:ascii="Arial" w:eastAsia="Times New Roman" w:hAnsi="Arial" w:cs="Arial"/>
          <w:sz w:val="22"/>
          <w:szCs w:val="22"/>
          <w:lang w:val="en"/>
        </w:rPr>
      </w:pPr>
      <w:hyperlink r:id="rId20" w:history="1">
        <w:r>
          <w:rPr>
            <w:rStyle w:val="Hyperlink"/>
            <w:rFonts w:ascii="Arial" w:eastAsia="Times New Roman" w:hAnsi="Arial" w:cs="Arial"/>
            <w:sz w:val="22"/>
            <w:szCs w:val="22"/>
            <w:lang w:val="en"/>
          </w:rPr>
          <w:t>Australian Charter for the Professional Learning of Teachers and School Leaders</w:t>
        </w:r>
      </w:hyperlink>
    </w:p>
    <w:p w14:paraId="359E12E0" w14:textId="60502783" w:rsidR="00527721" w:rsidRPr="00527721" w:rsidRDefault="00527721">
      <w:pPr>
        <w:numPr>
          <w:ilvl w:val="0"/>
          <w:numId w:val="8"/>
        </w:numPr>
        <w:spacing w:before="100" w:beforeAutospacing="1" w:after="120" w:line="240" w:lineRule="auto"/>
        <w:divId w:val="306253143"/>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"https://www.aitsl.edu.au/docs/default-source/national-policy-framework/australian-teacher-performance-and-development-framework.pdf?sfvrsn=4a7fff3c_10"</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Pr="00527721">
        <w:rPr>
          <w:rStyle w:val="Hyperlink"/>
          <w:rFonts w:ascii="Arial" w:eastAsia="Times New Roman" w:hAnsi="Arial" w:cs="Arial"/>
          <w:sz w:val="22"/>
          <w:szCs w:val="22"/>
          <w:lang w:val="en"/>
        </w:rPr>
        <w:t>Australian Teacher Performance and Development Framework</w:t>
      </w:r>
    </w:p>
    <w:p w14:paraId="0C46E795" w14:textId="693B0223" w:rsidR="00527721" w:rsidRDefault="00527721">
      <w:pPr>
        <w:pStyle w:val="Heading4"/>
        <w:divId w:val="306253143"/>
        <w:rPr>
          <w:rFonts w:ascii="Arial" w:eastAsia="Times New Roman" w:hAnsi="Arial" w:cs="Arial"/>
          <w:lang w:val="en"/>
        </w:rPr>
      </w:pPr>
      <w:r>
        <w:rPr>
          <w:rFonts w:ascii="Arial" w:eastAsia="Times New Roman" w:hAnsi="Arial" w:cs="Arial"/>
          <w:b w:val="0"/>
          <w:bCs w:val="0"/>
          <w:color w:val="auto"/>
          <w:kern w:val="2"/>
          <w:sz w:val="22"/>
          <w:szCs w:val="22"/>
          <w:lang w:val="en"/>
        </w:rPr>
        <w:lastRenderedPageBreak/>
        <w:fldChar w:fldCharType="end"/>
      </w:r>
      <w:r>
        <w:rPr>
          <w:rFonts w:ascii="Arial" w:eastAsia="Times New Roman" w:hAnsi="Arial" w:cs="Arial"/>
          <w:lang w:val="en"/>
        </w:rPr>
        <w:t>Resources about the Australian Teacher Performance and Development Framework</w:t>
      </w:r>
    </w:p>
    <w:p w14:paraId="172EE831" w14:textId="77777777" w:rsidR="00527721" w:rsidRDefault="00527721">
      <w:pPr>
        <w:numPr>
          <w:ilvl w:val="0"/>
          <w:numId w:val="9"/>
        </w:numPr>
        <w:spacing w:before="100" w:beforeAutospacing="1" w:after="120" w:line="240" w:lineRule="auto"/>
        <w:divId w:val="306253143"/>
        <w:rPr>
          <w:rFonts w:ascii="Arial" w:eastAsia="Times New Roman" w:hAnsi="Arial" w:cs="Arial"/>
          <w:sz w:val="22"/>
          <w:szCs w:val="22"/>
          <w:lang w:val="en"/>
        </w:rPr>
      </w:pPr>
      <w:hyperlink r:id="rId21" w:history="1">
        <w:r>
          <w:rPr>
            <w:rStyle w:val="Hyperlink"/>
            <w:rFonts w:ascii="Arial" w:eastAsia="Times New Roman" w:hAnsi="Arial" w:cs="Arial"/>
            <w:sz w:val="22"/>
            <w:szCs w:val="22"/>
            <w:lang w:val="en"/>
          </w:rPr>
          <w:t>Unpacking the Australian Teacher Performance and Development Framework</w:t>
        </w:r>
      </w:hyperlink>
    </w:p>
    <w:p w14:paraId="7D8E67F4" w14:textId="77777777" w:rsidR="00527721" w:rsidRDefault="00527721">
      <w:pPr>
        <w:numPr>
          <w:ilvl w:val="0"/>
          <w:numId w:val="9"/>
        </w:numPr>
        <w:spacing w:before="100" w:beforeAutospacing="1" w:after="120" w:line="240" w:lineRule="auto"/>
        <w:divId w:val="306253143"/>
        <w:rPr>
          <w:rFonts w:ascii="Arial" w:eastAsia="Times New Roman" w:hAnsi="Arial" w:cs="Arial"/>
          <w:sz w:val="22"/>
          <w:szCs w:val="22"/>
          <w:lang w:val="en"/>
        </w:rPr>
      </w:pPr>
      <w:hyperlink r:id="rId22" w:history="1">
        <w:r>
          <w:rPr>
            <w:rStyle w:val="Hyperlink"/>
            <w:rFonts w:ascii="Arial" w:eastAsia="Times New Roman" w:hAnsi="Arial" w:cs="Arial"/>
            <w:sz w:val="22"/>
            <w:szCs w:val="22"/>
            <w:lang w:val="en"/>
          </w:rPr>
          <w:t>FAQs about the Australian Teacher Performance and Development Framework</w:t>
        </w:r>
      </w:hyperlink>
    </w:p>
    <w:p w14:paraId="5B36F8C5" w14:textId="77777777" w:rsidR="00527721" w:rsidRDefault="00527721">
      <w:pPr>
        <w:numPr>
          <w:ilvl w:val="0"/>
          <w:numId w:val="9"/>
        </w:numPr>
        <w:spacing w:before="100" w:beforeAutospacing="1" w:after="120" w:line="240" w:lineRule="auto"/>
        <w:divId w:val="306253143"/>
        <w:rPr>
          <w:rFonts w:ascii="Arial" w:eastAsia="Times New Roman" w:hAnsi="Arial" w:cs="Arial"/>
          <w:sz w:val="22"/>
          <w:szCs w:val="22"/>
          <w:lang w:val="en"/>
        </w:rPr>
      </w:pPr>
      <w:hyperlink r:id="rId23" w:history="1">
        <w:r>
          <w:rPr>
            <w:rStyle w:val="Hyperlink"/>
            <w:rFonts w:ascii="Arial" w:eastAsia="Times New Roman" w:hAnsi="Arial" w:cs="Arial"/>
            <w:sz w:val="22"/>
            <w:szCs w:val="22"/>
            <w:lang w:val="en"/>
          </w:rPr>
          <w:t>Factsheet about the Australian Teacher Performance and Development Framework</w:t>
        </w:r>
      </w:hyperlink>
    </w:p>
    <w:p w14:paraId="1B5CE24A" w14:textId="77777777" w:rsidR="00527721" w:rsidRDefault="00527721">
      <w:pPr>
        <w:pStyle w:val="Heading2"/>
        <w:divId w:val="306253143"/>
        <w:rPr>
          <w:rFonts w:ascii="Arial" w:eastAsia="Times New Roman" w:hAnsi="Arial" w:cs="Arial"/>
          <w:lang w:val="en"/>
        </w:rPr>
      </w:pPr>
      <w:r>
        <w:rPr>
          <w:rFonts w:ascii="Arial" w:eastAsia="Times New Roman" w:hAnsi="Arial" w:cs="Arial"/>
          <w:lang w:val="en"/>
        </w:rPr>
        <w:t>Next steps</w:t>
      </w:r>
    </w:p>
    <w:p w14:paraId="5561F452" w14:textId="77777777" w:rsidR="00527721" w:rsidRDefault="00527721">
      <w:pPr>
        <w:pStyle w:val="close-up"/>
        <w:divId w:val="306253143"/>
        <w:rPr>
          <w:rFonts w:ascii="Arial" w:hAnsi="Arial" w:cs="Arial"/>
          <w:lang w:val="en"/>
        </w:rPr>
      </w:pPr>
      <w:r>
        <w:rPr>
          <w:rFonts w:ascii="Arial" w:hAnsi="Arial" w:cs="Arial"/>
          <w:lang w:val="en"/>
        </w:rPr>
        <w:t>Deepen your understanding with:</w:t>
      </w:r>
    </w:p>
    <w:p w14:paraId="29E6BF0D" w14:textId="77777777" w:rsidR="00527721" w:rsidRDefault="00527721">
      <w:pPr>
        <w:numPr>
          <w:ilvl w:val="0"/>
          <w:numId w:val="10"/>
        </w:numPr>
        <w:spacing w:before="100" w:beforeAutospacing="1" w:after="120" w:line="240" w:lineRule="auto"/>
        <w:divId w:val="306253143"/>
        <w:rPr>
          <w:rFonts w:ascii="Arial" w:eastAsia="Times New Roman" w:hAnsi="Arial" w:cs="Arial"/>
          <w:sz w:val="22"/>
          <w:szCs w:val="22"/>
          <w:lang w:val="en"/>
        </w:rPr>
      </w:pPr>
      <w:hyperlink r:id="rId24" w:history="1">
        <w:r>
          <w:rPr>
            <w:rStyle w:val="Hyperlink"/>
            <w:rFonts w:ascii="Arial" w:eastAsia="Times New Roman" w:hAnsi="Arial" w:cs="Arial"/>
            <w:sz w:val="22"/>
            <w:szCs w:val="22"/>
            <w:lang w:val="en"/>
          </w:rPr>
          <w:t xml:space="preserve">Module 2b: What is high quality professional learning, and how can it support the development of effective teaching? </w:t>
        </w:r>
      </w:hyperlink>
    </w:p>
    <w:p w14:paraId="143C1C02" w14:textId="77777777" w:rsidR="00527721" w:rsidRDefault="00527721">
      <w:pPr>
        <w:pStyle w:val="close-up"/>
        <w:divId w:val="306253143"/>
        <w:rPr>
          <w:rFonts w:ascii="Arial" w:hAnsi="Arial" w:cs="Arial"/>
          <w:lang w:val="en"/>
        </w:rPr>
      </w:pPr>
      <w:r>
        <w:rPr>
          <w:rFonts w:ascii="Arial" w:hAnsi="Arial" w:cs="Arial"/>
          <w:lang w:val="en"/>
        </w:rPr>
        <w:t>Read:</w:t>
      </w:r>
    </w:p>
    <w:p w14:paraId="610B3ABD" w14:textId="626019FA" w:rsidR="00527721" w:rsidRPr="00527721" w:rsidRDefault="00527721">
      <w:pPr>
        <w:numPr>
          <w:ilvl w:val="0"/>
          <w:numId w:val="11"/>
        </w:numPr>
        <w:spacing w:before="100" w:beforeAutospacing="1" w:after="120" w:line="240" w:lineRule="auto"/>
        <w:divId w:val="306253143"/>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evidenceforlearning.org.au/education-evidence/guidance-reports/putting-evidence-to-work-a-schools-guide-to-implementation?utm_source=/education-evidence/guidance-reports/putting-evidence-to-work-a-schools-guide-to-implementation&amp;utm_medium=search&amp;utm_campaign=site_search&amp;search_term=Implementation"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Pr="00527721">
        <w:rPr>
          <w:rStyle w:val="Hyperlink"/>
          <w:rFonts w:ascii="Arial" w:eastAsia="Times New Roman" w:hAnsi="Arial" w:cs="Arial"/>
          <w:sz w:val="22"/>
          <w:szCs w:val="22"/>
          <w:lang w:val="en"/>
        </w:rPr>
        <w:t>Putting evidence to work: a school’s guide to implementation</w:t>
      </w:r>
    </w:p>
    <w:p w14:paraId="06D93F7A" w14:textId="1D3C4B39" w:rsidR="00527721" w:rsidRDefault="00527721">
      <w:pPr>
        <w:pStyle w:val="close-up"/>
        <w:divId w:val="306253143"/>
        <w:rPr>
          <w:rFonts w:ascii="Arial" w:hAnsi="Arial" w:cs="Arial"/>
          <w:lang w:val="en"/>
        </w:rPr>
      </w:pPr>
      <w:r>
        <w:rPr>
          <w:rFonts w:ascii="Arial" w:eastAsia="Times New Roman" w:hAnsi="Arial" w:cs="Arial"/>
          <w:color w:val="auto"/>
          <w:kern w:val="2"/>
          <w:lang w:val="en"/>
        </w:rPr>
        <w:fldChar w:fldCharType="end"/>
      </w:r>
      <w:r>
        <w:rPr>
          <w:rFonts w:ascii="Arial" w:hAnsi="Arial" w:cs="Arial"/>
          <w:lang w:val="en"/>
        </w:rPr>
        <w:t>Get into more detail about the development cycle with</w:t>
      </w:r>
    </w:p>
    <w:p w14:paraId="5764E47D" w14:textId="3F4885F0" w:rsidR="00527721" w:rsidRDefault="00527721">
      <w:pPr>
        <w:numPr>
          <w:ilvl w:val="0"/>
          <w:numId w:val="12"/>
        </w:numPr>
        <w:spacing w:before="100" w:beforeAutospacing="1" w:after="120" w:line="240" w:lineRule="auto"/>
        <w:divId w:val="306253143"/>
        <w:rPr>
          <w:rFonts w:ascii="Arial" w:eastAsia="Times New Roman" w:hAnsi="Arial" w:cs="Arial"/>
          <w:sz w:val="22"/>
          <w:szCs w:val="22"/>
          <w:lang w:val="en"/>
        </w:rPr>
      </w:pPr>
      <w:hyperlink r:id="rId25" w:history="1">
        <w:r>
          <w:rPr>
            <w:rStyle w:val="Hyperlink"/>
            <w:rFonts w:ascii="Arial" w:eastAsia="Times New Roman" w:hAnsi="Arial" w:cs="Arial"/>
            <w:sz w:val="22"/>
            <w:szCs w:val="22"/>
            <w:lang w:val="en"/>
          </w:rPr>
          <w:t xml:space="preserve">Module 3 – Applying the development cycle to demonstrate proficient against the </w:t>
        </w:r>
        <w:r w:rsidR="00FF6FAB">
          <w:rPr>
            <w:rStyle w:val="Hyperlink"/>
            <w:rFonts w:ascii="Arial" w:eastAsia="Times New Roman" w:hAnsi="Arial" w:cs="Arial"/>
            <w:sz w:val="22"/>
            <w:szCs w:val="22"/>
            <w:lang w:val="en"/>
          </w:rPr>
          <w:t xml:space="preserve">Teacher </w:t>
        </w:r>
        <w:r>
          <w:rPr>
            <w:rStyle w:val="Hyperlink"/>
            <w:rFonts w:ascii="Arial" w:eastAsia="Times New Roman" w:hAnsi="Arial" w:cs="Arial"/>
            <w:sz w:val="22"/>
            <w:szCs w:val="22"/>
            <w:lang w:val="en"/>
          </w:rPr>
          <w:t>Standards</w:t>
        </w:r>
      </w:hyperlink>
    </w:p>
    <w:p w14:paraId="549E7FF4" w14:textId="77777777" w:rsidR="00527721" w:rsidRDefault="00527721">
      <w:pPr>
        <w:pStyle w:val="close-up"/>
        <w:divId w:val="306253143"/>
        <w:rPr>
          <w:rFonts w:ascii="Arial" w:hAnsi="Arial" w:cs="Arial"/>
          <w:lang w:val="en"/>
        </w:rPr>
      </w:pPr>
      <w:r>
        <w:rPr>
          <w:rFonts w:ascii="Arial" w:hAnsi="Arial" w:cs="Arial"/>
          <w:lang w:val="en"/>
        </w:rPr>
        <w:t xml:space="preserve">If you </w:t>
      </w:r>
      <w:proofErr w:type="gramStart"/>
      <w:r>
        <w:rPr>
          <w:rFonts w:ascii="Arial" w:hAnsi="Arial" w:cs="Arial"/>
          <w:lang w:val="en"/>
        </w:rPr>
        <w:t>haven’t</w:t>
      </w:r>
      <w:proofErr w:type="gramEnd"/>
      <w:r>
        <w:rPr>
          <w:rFonts w:ascii="Arial" w:hAnsi="Arial" w:cs="Arial"/>
          <w:lang w:val="en"/>
        </w:rPr>
        <w:t xml:space="preserve"> already, complete:</w:t>
      </w:r>
    </w:p>
    <w:p w14:paraId="5F9F86BC" w14:textId="0E49BE64" w:rsidR="00527721" w:rsidRDefault="00527721">
      <w:pPr>
        <w:numPr>
          <w:ilvl w:val="0"/>
          <w:numId w:val="13"/>
        </w:numPr>
        <w:spacing w:before="100" w:beforeAutospacing="1" w:after="120" w:line="240" w:lineRule="auto"/>
        <w:divId w:val="306253143"/>
        <w:rPr>
          <w:rFonts w:ascii="Arial" w:eastAsia="Times New Roman" w:hAnsi="Arial" w:cs="Arial"/>
          <w:sz w:val="22"/>
          <w:szCs w:val="22"/>
          <w:lang w:val="en"/>
        </w:rPr>
      </w:pPr>
      <w:hyperlink r:id="rId26" w:history="1">
        <w:r>
          <w:rPr>
            <w:rStyle w:val="Hyperlink"/>
            <w:rFonts w:ascii="Arial" w:eastAsia="Times New Roman" w:hAnsi="Arial" w:cs="Arial"/>
            <w:sz w:val="22"/>
            <w:szCs w:val="22"/>
            <w:lang w:val="en"/>
          </w:rPr>
          <w:t xml:space="preserve">Module </w:t>
        </w:r>
        <w:proofErr w:type="gramStart"/>
        <w:r>
          <w:rPr>
            <w:rStyle w:val="Hyperlink"/>
            <w:rFonts w:ascii="Arial" w:eastAsia="Times New Roman" w:hAnsi="Arial" w:cs="Arial"/>
            <w:sz w:val="22"/>
            <w:szCs w:val="22"/>
            <w:lang w:val="en"/>
          </w:rPr>
          <w:t>1</w:t>
        </w:r>
        <w:proofErr w:type="gramEnd"/>
        <w:r>
          <w:rPr>
            <w:rStyle w:val="Hyperlink"/>
            <w:rFonts w:ascii="Arial" w:eastAsia="Times New Roman" w:hAnsi="Arial" w:cs="Arial"/>
            <w:sz w:val="22"/>
            <w:szCs w:val="22"/>
            <w:lang w:val="en"/>
          </w:rPr>
          <w:t xml:space="preserve"> on Understanding the Australian Professional Standards for Teachers to learn more about the </w:t>
        </w:r>
        <w:r w:rsidR="00FF6FAB">
          <w:rPr>
            <w:rStyle w:val="Hyperlink"/>
            <w:rFonts w:ascii="Arial" w:eastAsia="Times New Roman" w:hAnsi="Arial" w:cs="Arial"/>
            <w:sz w:val="22"/>
            <w:szCs w:val="22"/>
            <w:lang w:val="en"/>
          </w:rPr>
          <w:t>Teacher S</w:t>
        </w:r>
        <w:r>
          <w:rPr>
            <w:rStyle w:val="Hyperlink"/>
            <w:rFonts w:ascii="Arial" w:eastAsia="Times New Roman" w:hAnsi="Arial" w:cs="Arial"/>
            <w:sz w:val="22"/>
            <w:szCs w:val="22"/>
            <w:lang w:val="en"/>
          </w:rPr>
          <w:t xml:space="preserve">tandards. </w:t>
        </w:r>
      </w:hyperlink>
    </w:p>
    <w:p w14:paraId="0600C500" w14:textId="77777777" w:rsidR="00527721" w:rsidRDefault="00527721">
      <w:pPr>
        <w:pStyle w:val="close-up"/>
        <w:divId w:val="306253143"/>
        <w:rPr>
          <w:rFonts w:ascii="Arial" w:hAnsi="Arial" w:cs="Arial"/>
          <w:lang w:val="en"/>
        </w:rPr>
      </w:pPr>
      <w:r>
        <w:rPr>
          <w:rFonts w:ascii="Arial" w:hAnsi="Arial" w:cs="Arial"/>
          <w:lang w:val="en"/>
        </w:rPr>
        <w:t xml:space="preserve">Alternatively, return to the </w:t>
      </w:r>
    </w:p>
    <w:p w14:paraId="66923749" w14:textId="77777777" w:rsidR="00527721" w:rsidRDefault="00527721">
      <w:pPr>
        <w:numPr>
          <w:ilvl w:val="0"/>
          <w:numId w:val="14"/>
        </w:numPr>
        <w:spacing w:before="100" w:beforeAutospacing="1" w:after="120" w:line="240" w:lineRule="auto"/>
        <w:divId w:val="306253143"/>
        <w:rPr>
          <w:rFonts w:ascii="Arial" w:eastAsia="Times New Roman" w:hAnsi="Arial" w:cs="Arial"/>
          <w:sz w:val="22"/>
          <w:szCs w:val="22"/>
          <w:lang w:val="en"/>
        </w:rPr>
      </w:pPr>
      <w:hyperlink r:id="rId27"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52772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4C6A"/>
    <w:multiLevelType w:val="multilevel"/>
    <w:tmpl w:val="A656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77CEA"/>
    <w:multiLevelType w:val="multilevel"/>
    <w:tmpl w:val="E42E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D2955"/>
    <w:multiLevelType w:val="multilevel"/>
    <w:tmpl w:val="C4F0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812D8"/>
    <w:multiLevelType w:val="multilevel"/>
    <w:tmpl w:val="179AE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62A6F"/>
    <w:multiLevelType w:val="multilevel"/>
    <w:tmpl w:val="4276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412D1"/>
    <w:multiLevelType w:val="multilevel"/>
    <w:tmpl w:val="18E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4C3850"/>
    <w:multiLevelType w:val="multilevel"/>
    <w:tmpl w:val="220A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111AD4"/>
    <w:multiLevelType w:val="multilevel"/>
    <w:tmpl w:val="C952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624094"/>
    <w:multiLevelType w:val="multilevel"/>
    <w:tmpl w:val="5A5C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D343C"/>
    <w:multiLevelType w:val="multilevel"/>
    <w:tmpl w:val="5286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AF3D99"/>
    <w:multiLevelType w:val="multilevel"/>
    <w:tmpl w:val="CC1E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ED23E6"/>
    <w:multiLevelType w:val="multilevel"/>
    <w:tmpl w:val="E0F2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136DF8"/>
    <w:multiLevelType w:val="multilevel"/>
    <w:tmpl w:val="0CDE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1C2F5F"/>
    <w:multiLevelType w:val="multilevel"/>
    <w:tmpl w:val="3898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01340">
    <w:abstractNumId w:val="1"/>
  </w:num>
  <w:num w:numId="2" w16cid:durableId="1186481263">
    <w:abstractNumId w:val="3"/>
  </w:num>
  <w:num w:numId="3" w16cid:durableId="761141522">
    <w:abstractNumId w:val="6"/>
  </w:num>
  <w:num w:numId="4" w16cid:durableId="280916071">
    <w:abstractNumId w:val="4"/>
  </w:num>
  <w:num w:numId="5" w16cid:durableId="162938335">
    <w:abstractNumId w:val="5"/>
  </w:num>
  <w:num w:numId="6" w16cid:durableId="89356425">
    <w:abstractNumId w:val="0"/>
  </w:num>
  <w:num w:numId="7" w16cid:durableId="1071663247">
    <w:abstractNumId w:val="13"/>
  </w:num>
  <w:num w:numId="8" w16cid:durableId="869335973">
    <w:abstractNumId w:val="2"/>
  </w:num>
  <w:num w:numId="9" w16cid:durableId="115956731">
    <w:abstractNumId w:val="8"/>
  </w:num>
  <w:num w:numId="10" w16cid:durableId="1560167134">
    <w:abstractNumId w:val="10"/>
  </w:num>
  <w:num w:numId="11" w16cid:durableId="1102531661">
    <w:abstractNumId w:val="11"/>
  </w:num>
  <w:num w:numId="12" w16cid:durableId="562984951">
    <w:abstractNumId w:val="7"/>
  </w:num>
  <w:num w:numId="13" w16cid:durableId="1025862222">
    <w:abstractNumId w:val="12"/>
  </w:num>
  <w:num w:numId="14" w16cid:durableId="1072116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8C"/>
    <w:rsid w:val="002B5CCC"/>
    <w:rsid w:val="00527721"/>
    <w:rsid w:val="007E71B4"/>
    <w:rsid w:val="0086658C"/>
    <w:rsid w:val="00A54272"/>
    <w:rsid w:val="00B41DE2"/>
    <w:rsid w:val="00BF6E34"/>
    <w:rsid w:val="00D23F7D"/>
    <w:rsid w:val="00FF6F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A307"/>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user-notes1">
    <w:name w:val="user-notes1"/>
    <w:basedOn w:val="Normal"/>
    <w:pPr>
      <w:shd w:val="clear" w:color="auto" w:fill="FCFFE2"/>
      <w:spacing w:after="0"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customStyle="1" w:styleId="hidehtml">
    <w:name w:val="hidehtml"/>
    <w:basedOn w:val="Normal"/>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paragraph" w:styleId="Revision">
    <w:name w:val="Revision"/>
    <w:hidden/>
    <w:uiPriority w:val="99"/>
    <w:semiHidden/>
    <w:rsid w:val="00A54272"/>
    <w:pPr>
      <w:spacing w:after="0" w:line="240" w:lineRule="auto"/>
    </w:pPr>
  </w:style>
  <w:style w:type="character" w:styleId="UnresolvedMention">
    <w:name w:val="Unresolved Mention"/>
    <w:basedOn w:val="DefaultParagraphFont"/>
    <w:uiPriority w:val="99"/>
    <w:semiHidden/>
    <w:unhideWhenUsed/>
    <w:rsid w:val="00A54272"/>
    <w:rPr>
      <w:color w:val="605E5C"/>
      <w:shd w:val="clear" w:color="auto" w:fill="E1DFDD"/>
    </w:rPr>
  </w:style>
  <w:style w:type="character" w:styleId="FollowedHyperlink">
    <w:name w:val="FollowedHyperlink"/>
    <w:basedOn w:val="DefaultParagraphFont"/>
    <w:uiPriority w:val="99"/>
    <w:semiHidden/>
    <w:unhideWhenUsed/>
    <w:rsid w:val="00A542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210898">
      <w:marLeft w:val="0"/>
      <w:marRight w:val="0"/>
      <w:marTop w:val="0"/>
      <w:marBottom w:val="0"/>
      <w:divBdr>
        <w:top w:val="none" w:sz="0" w:space="0" w:color="auto"/>
        <w:left w:val="none" w:sz="0" w:space="0" w:color="auto"/>
        <w:bottom w:val="none" w:sz="0" w:space="0" w:color="auto"/>
        <w:right w:val="none" w:sz="0" w:space="0" w:color="auto"/>
      </w:divBdr>
      <w:divsChild>
        <w:div w:id="142696947">
          <w:marLeft w:val="0"/>
          <w:marRight w:val="0"/>
          <w:marTop w:val="0"/>
          <w:marBottom w:val="0"/>
          <w:divBdr>
            <w:top w:val="none" w:sz="0" w:space="0" w:color="auto"/>
            <w:left w:val="none" w:sz="0" w:space="0" w:color="auto"/>
            <w:bottom w:val="none" w:sz="0" w:space="0" w:color="auto"/>
            <w:right w:val="none" w:sz="0" w:space="0" w:color="auto"/>
          </w:divBdr>
          <w:divsChild>
            <w:div w:id="708148330">
              <w:marLeft w:val="0"/>
              <w:marRight w:val="0"/>
              <w:marTop w:val="0"/>
              <w:marBottom w:val="0"/>
              <w:divBdr>
                <w:top w:val="none" w:sz="0" w:space="0" w:color="auto"/>
                <w:left w:val="none" w:sz="0" w:space="0" w:color="auto"/>
                <w:bottom w:val="none" w:sz="0" w:space="0" w:color="auto"/>
                <w:right w:val="none" w:sz="0" w:space="0" w:color="auto"/>
              </w:divBdr>
              <w:divsChild>
                <w:div w:id="1090389400">
                  <w:marLeft w:val="0"/>
                  <w:marRight w:val="0"/>
                  <w:marTop w:val="0"/>
                  <w:marBottom w:val="0"/>
                  <w:divBdr>
                    <w:top w:val="none" w:sz="0" w:space="0" w:color="auto"/>
                    <w:left w:val="none" w:sz="0" w:space="0" w:color="auto"/>
                    <w:bottom w:val="none" w:sz="0" w:space="0" w:color="auto"/>
                    <w:right w:val="none" w:sz="0" w:space="0" w:color="auto"/>
                  </w:divBdr>
                  <w:divsChild>
                    <w:div w:id="1392539962">
                      <w:marLeft w:val="0"/>
                      <w:marRight w:val="0"/>
                      <w:marTop w:val="0"/>
                      <w:marBottom w:val="0"/>
                      <w:divBdr>
                        <w:top w:val="none" w:sz="0" w:space="0" w:color="auto"/>
                        <w:left w:val="none" w:sz="0" w:space="0" w:color="auto"/>
                        <w:bottom w:val="none" w:sz="0" w:space="0" w:color="auto"/>
                        <w:right w:val="none" w:sz="0" w:space="0" w:color="auto"/>
                      </w:divBdr>
                      <w:divsChild>
                        <w:div w:id="1310358072">
                          <w:marLeft w:val="0"/>
                          <w:marRight w:val="0"/>
                          <w:marTop w:val="0"/>
                          <w:marBottom w:val="0"/>
                          <w:divBdr>
                            <w:top w:val="none" w:sz="0" w:space="0" w:color="auto"/>
                            <w:left w:val="none" w:sz="0" w:space="0" w:color="auto"/>
                            <w:bottom w:val="none" w:sz="0" w:space="0" w:color="auto"/>
                            <w:right w:val="none" w:sz="0" w:space="0" w:color="auto"/>
                          </w:divBdr>
                          <w:divsChild>
                            <w:div w:id="1900287195">
                              <w:marLeft w:val="0"/>
                              <w:marRight w:val="0"/>
                              <w:marTop w:val="0"/>
                              <w:marBottom w:val="0"/>
                              <w:divBdr>
                                <w:top w:val="none" w:sz="0" w:space="0" w:color="auto"/>
                                <w:left w:val="none" w:sz="0" w:space="0" w:color="auto"/>
                                <w:bottom w:val="none" w:sz="0" w:space="0" w:color="auto"/>
                                <w:right w:val="none" w:sz="0" w:space="0" w:color="auto"/>
                              </w:divBdr>
                              <w:divsChild>
                                <w:div w:id="2144344582">
                                  <w:marLeft w:val="0"/>
                                  <w:marRight w:val="0"/>
                                  <w:marTop w:val="0"/>
                                  <w:marBottom w:val="0"/>
                                  <w:divBdr>
                                    <w:top w:val="none" w:sz="0" w:space="0" w:color="auto"/>
                                    <w:left w:val="none" w:sz="0" w:space="0" w:color="auto"/>
                                    <w:bottom w:val="none" w:sz="0" w:space="0" w:color="auto"/>
                                    <w:right w:val="none" w:sz="0" w:space="0" w:color="auto"/>
                                  </w:divBdr>
                                  <w:divsChild>
                                    <w:div w:id="907156201">
                                      <w:marLeft w:val="0"/>
                                      <w:marRight w:val="0"/>
                                      <w:marTop w:val="0"/>
                                      <w:marBottom w:val="0"/>
                                      <w:divBdr>
                                        <w:top w:val="none" w:sz="0" w:space="0" w:color="auto"/>
                                        <w:left w:val="none" w:sz="0" w:space="0" w:color="auto"/>
                                        <w:bottom w:val="none" w:sz="0" w:space="0" w:color="auto"/>
                                        <w:right w:val="none" w:sz="0" w:space="0" w:color="auto"/>
                                      </w:divBdr>
                                    </w:div>
                                    <w:div w:id="1652633513">
                                      <w:marLeft w:val="0"/>
                                      <w:marRight w:val="0"/>
                                      <w:marTop w:val="0"/>
                                      <w:marBottom w:val="0"/>
                                      <w:divBdr>
                                        <w:top w:val="none" w:sz="0" w:space="0" w:color="auto"/>
                                        <w:left w:val="none" w:sz="0" w:space="0" w:color="auto"/>
                                        <w:bottom w:val="none" w:sz="0" w:space="0" w:color="auto"/>
                                        <w:right w:val="none" w:sz="0" w:space="0" w:color="auto"/>
                                      </w:divBdr>
                                    </w:div>
                                    <w:div w:id="19716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320">
                              <w:marLeft w:val="0"/>
                              <w:marRight w:val="0"/>
                              <w:marTop w:val="0"/>
                              <w:marBottom w:val="0"/>
                              <w:divBdr>
                                <w:top w:val="none" w:sz="0" w:space="0" w:color="auto"/>
                                <w:left w:val="none" w:sz="0" w:space="0" w:color="auto"/>
                                <w:bottom w:val="none" w:sz="0" w:space="0" w:color="auto"/>
                                <w:right w:val="none" w:sz="0" w:space="0" w:color="auto"/>
                              </w:divBdr>
                              <w:divsChild>
                                <w:div w:id="886918832">
                                  <w:marLeft w:val="0"/>
                                  <w:marRight w:val="0"/>
                                  <w:marTop w:val="0"/>
                                  <w:marBottom w:val="0"/>
                                  <w:divBdr>
                                    <w:top w:val="none" w:sz="0" w:space="0" w:color="auto"/>
                                    <w:left w:val="none" w:sz="0" w:space="0" w:color="auto"/>
                                    <w:bottom w:val="none" w:sz="0" w:space="0" w:color="auto"/>
                                    <w:right w:val="none" w:sz="0" w:space="0" w:color="auto"/>
                                  </w:divBdr>
                                  <w:divsChild>
                                    <w:div w:id="869878403">
                                      <w:marLeft w:val="0"/>
                                      <w:marRight w:val="0"/>
                                      <w:marTop w:val="0"/>
                                      <w:marBottom w:val="0"/>
                                      <w:divBdr>
                                        <w:top w:val="none" w:sz="0" w:space="0" w:color="auto"/>
                                        <w:left w:val="none" w:sz="0" w:space="0" w:color="auto"/>
                                        <w:bottom w:val="none" w:sz="0" w:space="0" w:color="auto"/>
                                        <w:right w:val="none" w:sz="0" w:space="0" w:color="auto"/>
                                      </w:divBdr>
                                    </w:div>
                                    <w:div w:id="191084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6958">
                              <w:marLeft w:val="0"/>
                              <w:marRight w:val="0"/>
                              <w:marTop w:val="0"/>
                              <w:marBottom w:val="0"/>
                              <w:divBdr>
                                <w:top w:val="none" w:sz="0" w:space="0" w:color="auto"/>
                                <w:left w:val="none" w:sz="0" w:space="0" w:color="auto"/>
                                <w:bottom w:val="none" w:sz="0" w:space="0" w:color="auto"/>
                                <w:right w:val="none" w:sz="0" w:space="0" w:color="auto"/>
                              </w:divBdr>
                              <w:divsChild>
                                <w:div w:id="1386030702">
                                  <w:marLeft w:val="0"/>
                                  <w:marRight w:val="0"/>
                                  <w:marTop w:val="0"/>
                                  <w:marBottom w:val="0"/>
                                  <w:divBdr>
                                    <w:top w:val="none" w:sz="0" w:space="0" w:color="auto"/>
                                    <w:left w:val="none" w:sz="0" w:space="0" w:color="auto"/>
                                    <w:bottom w:val="none" w:sz="0" w:space="0" w:color="auto"/>
                                    <w:right w:val="none" w:sz="0" w:space="0" w:color="auto"/>
                                  </w:divBdr>
                                  <w:divsChild>
                                    <w:div w:id="2138404401">
                                      <w:marLeft w:val="0"/>
                                      <w:marRight w:val="0"/>
                                      <w:marTop w:val="0"/>
                                      <w:marBottom w:val="0"/>
                                      <w:divBdr>
                                        <w:top w:val="none" w:sz="0" w:space="0" w:color="auto"/>
                                        <w:left w:val="none" w:sz="0" w:space="0" w:color="auto"/>
                                        <w:bottom w:val="none" w:sz="0" w:space="0" w:color="auto"/>
                                        <w:right w:val="none" w:sz="0" w:space="0" w:color="auto"/>
                                      </w:divBdr>
                                      <w:divsChild>
                                        <w:div w:id="12616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5983">
                                  <w:marLeft w:val="0"/>
                                  <w:marRight w:val="0"/>
                                  <w:marTop w:val="0"/>
                                  <w:marBottom w:val="0"/>
                                  <w:divBdr>
                                    <w:top w:val="none" w:sz="0" w:space="0" w:color="auto"/>
                                    <w:left w:val="none" w:sz="0" w:space="0" w:color="auto"/>
                                    <w:bottom w:val="none" w:sz="0" w:space="0" w:color="auto"/>
                                    <w:right w:val="none" w:sz="0" w:space="0" w:color="auto"/>
                                  </w:divBdr>
                                  <w:divsChild>
                                    <w:div w:id="1591693941">
                                      <w:marLeft w:val="0"/>
                                      <w:marRight w:val="0"/>
                                      <w:marTop w:val="0"/>
                                      <w:marBottom w:val="0"/>
                                      <w:divBdr>
                                        <w:top w:val="none" w:sz="0" w:space="0" w:color="auto"/>
                                        <w:left w:val="none" w:sz="0" w:space="0" w:color="auto"/>
                                        <w:bottom w:val="none" w:sz="0" w:space="0" w:color="auto"/>
                                        <w:right w:val="none" w:sz="0" w:space="0" w:color="auto"/>
                                      </w:divBdr>
                                      <w:divsChild>
                                        <w:div w:id="19491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9065">
                              <w:marLeft w:val="0"/>
                              <w:marRight w:val="0"/>
                              <w:marTop w:val="0"/>
                              <w:marBottom w:val="0"/>
                              <w:divBdr>
                                <w:top w:val="none" w:sz="0" w:space="0" w:color="auto"/>
                                <w:left w:val="none" w:sz="0" w:space="0" w:color="auto"/>
                                <w:bottom w:val="none" w:sz="0" w:space="0" w:color="auto"/>
                                <w:right w:val="none" w:sz="0" w:space="0" w:color="auto"/>
                              </w:divBdr>
                              <w:divsChild>
                                <w:div w:id="306253143">
                                  <w:marLeft w:val="0"/>
                                  <w:marRight w:val="0"/>
                                  <w:marTop w:val="0"/>
                                  <w:marBottom w:val="0"/>
                                  <w:divBdr>
                                    <w:top w:val="none" w:sz="0" w:space="0" w:color="auto"/>
                                    <w:left w:val="none" w:sz="0" w:space="0" w:color="auto"/>
                                    <w:bottom w:val="none" w:sz="0" w:space="0" w:color="auto"/>
                                    <w:right w:val="none" w:sz="0" w:space="0" w:color="auto"/>
                                  </w:divBdr>
                                  <w:divsChild>
                                    <w:div w:id="1829595497">
                                      <w:marLeft w:val="0"/>
                                      <w:marRight w:val="0"/>
                                      <w:marTop w:val="0"/>
                                      <w:marBottom w:val="0"/>
                                      <w:divBdr>
                                        <w:top w:val="none" w:sz="0" w:space="0" w:color="auto"/>
                                        <w:left w:val="none" w:sz="0" w:space="0" w:color="auto"/>
                                        <w:bottom w:val="none" w:sz="0" w:space="0" w:color="auto"/>
                                        <w:right w:val="none" w:sz="0" w:space="0" w:color="auto"/>
                                      </w:divBdr>
                                    </w:div>
                                    <w:div w:id="1303537706">
                                      <w:marLeft w:val="0"/>
                                      <w:marRight w:val="0"/>
                                      <w:marTop w:val="0"/>
                                      <w:marBottom w:val="0"/>
                                      <w:divBdr>
                                        <w:top w:val="none" w:sz="0" w:space="0" w:color="auto"/>
                                        <w:left w:val="none" w:sz="0" w:space="0" w:color="auto"/>
                                        <w:bottom w:val="none" w:sz="0" w:space="0" w:color="auto"/>
                                        <w:right w:val="none" w:sz="0" w:space="0" w:color="auto"/>
                                      </w:divBdr>
                                    </w:div>
                                    <w:div w:id="1678843084">
                                      <w:marLeft w:val="0"/>
                                      <w:marRight w:val="0"/>
                                      <w:marTop w:val="0"/>
                                      <w:marBottom w:val="0"/>
                                      <w:divBdr>
                                        <w:top w:val="none" w:sz="0" w:space="0" w:color="auto"/>
                                        <w:left w:val="none" w:sz="0" w:space="0" w:color="auto"/>
                                        <w:bottom w:val="none" w:sz="0" w:space="0" w:color="auto"/>
                                        <w:right w:val="none" w:sz="0" w:space="0" w:color="auto"/>
                                      </w:divBdr>
                                    </w:div>
                                    <w:div w:id="71197912">
                                      <w:marLeft w:val="0"/>
                                      <w:marRight w:val="0"/>
                                      <w:marTop w:val="0"/>
                                      <w:marBottom w:val="0"/>
                                      <w:divBdr>
                                        <w:top w:val="none" w:sz="0" w:space="0" w:color="auto"/>
                                        <w:left w:val="none" w:sz="0" w:space="0" w:color="auto"/>
                                        <w:bottom w:val="none" w:sz="0" w:space="0" w:color="auto"/>
                                        <w:right w:val="none" w:sz="0" w:space="0" w:color="auto"/>
                                      </w:divBdr>
                                    </w:div>
                                    <w:div w:id="1523974765">
                                      <w:marLeft w:val="0"/>
                                      <w:marRight w:val="0"/>
                                      <w:marTop w:val="0"/>
                                      <w:marBottom w:val="0"/>
                                      <w:divBdr>
                                        <w:top w:val="none" w:sz="0" w:space="0" w:color="auto"/>
                                        <w:left w:val="none" w:sz="0" w:space="0" w:color="auto"/>
                                        <w:bottom w:val="none" w:sz="0" w:space="0" w:color="auto"/>
                                        <w:right w:val="none" w:sz="0" w:space="0" w:color="auto"/>
                                      </w:divBdr>
                                    </w:div>
                                    <w:div w:id="153689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docs/default-source/default-document-library/australian_teacher_performance_and_development_framework_august_2012_faq.pdf?sfvrsn=a4c2ec3c_0" TargetMode="External"/><Relationship Id="rId13" Type="http://schemas.openxmlformats.org/officeDocument/2006/relationships/image" Target="media/image3.png"/><Relationship Id="rId18" Type="http://schemas.openxmlformats.org/officeDocument/2006/relationships/hyperlink" Target="https://www.aitsl.edu.au/docs/default-source/national-policy-framework/australian-professional-standards-for-teachers.pdf" TargetMode="External"/><Relationship Id="rId26" Type="http://schemas.openxmlformats.org/officeDocument/2006/relationships/hyperlink" Target="https://www.aitsl.edu.au/teach/understand-your-impact/quality-teaching-modules/1a" TargetMode="External"/><Relationship Id="rId3" Type="http://schemas.openxmlformats.org/officeDocument/2006/relationships/settings" Target="settings.xml"/><Relationship Id="rId21" Type="http://schemas.openxmlformats.org/officeDocument/2006/relationships/hyperlink" Target="https://www.aitsl.edu.au/tools-resources/resource/unpacking-the-australian-teacher-performance-and-development-framework" TargetMode="External"/><Relationship Id="rId7" Type="http://schemas.openxmlformats.org/officeDocument/2006/relationships/hyperlink" Target="https://www.aitsl.edu.au/tools-resources/resource/unpacking-the-australian-teacher-performance-and-development-framework" TargetMode="External"/><Relationship Id="rId12" Type="http://schemas.openxmlformats.org/officeDocument/2006/relationships/hyperlink" Target="https://www.aitsl.edu.au/docs/default-source/default-document-library/aitsl_factsheet.pdf?sfvrsn=f8c2ec3c_0" TargetMode="External"/><Relationship Id="rId17" Type="http://schemas.openxmlformats.org/officeDocument/2006/relationships/hyperlink" Target="https://www.aitsl.edu.au/docs/default-source/default-document-library/engaging-in-p-d-resources-complete-set.pdf" TargetMode="External"/><Relationship Id="rId25" Type="http://schemas.openxmlformats.org/officeDocument/2006/relationships/hyperlink" Target="https://www.aitsl.edu.au/teach/understand-your-impact/quality-teaching-modules/3a" TargetMode="External"/><Relationship Id="rId2" Type="http://schemas.openxmlformats.org/officeDocument/2006/relationships/styles" Target="styles.xml"/><Relationship Id="rId16" Type="http://schemas.openxmlformats.org/officeDocument/2006/relationships/hyperlink" Target="https://www.aitsl.edu.au/docs/default-source/national-policy-framework/australian-charter-for-the-professional-learning-of-teachers-and-school-leaders.pdf?sfvrsn=6f7eff3c_8" TargetMode="External"/><Relationship Id="rId20" Type="http://schemas.openxmlformats.org/officeDocument/2006/relationships/hyperlink" Target="https://www.aitsl.edu.au/docs/default-source/national-policy-framework/australian-charter-for-the-professional-learning-of-teachers-and-school-leaders.pdf?sfvrsn=6f7eff3c_6"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itsl.edu.au/docs/default-source/national-policy-framework/australian-teacher-performance-and-development-framework.pdf?sfvrsn=4a7fff3c_10" TargetMode="External"/><Relationship Id="rId11" Type="http://schemas.openxmlformats.org/officeDocument/2006/relationships/hyperlink" Target="https://www.aitsl.edu.au/tools-resources/resource/australian-teacher-performance-and-development-framework" TargetMode="External"/><Relationship Id="rId24" Type="http://schemas.openxmlformats.org/officeDocument/2006/relationships/hyperlink" Target="https://www.aitsl.edu.au/teach/understand-your-impact/quality-teaching-modules/2b" TargetMode="External"/><Relationship Id="rId5" Type="http://schemas.openxmlformats.org/officeDocument/2006/relationships/image" Target="media/image1.png"/><Relationship Id="rId15" Type="http://schemas.openxmlformats.org/officeDocument/2006/relationships/hyperlink" Target="https://www.aitsl.edu.au/tools-resources/resource/charter-stimulus-cards" TargetMode="External"/><Relationship Id="rId23" Type="http://schemas.openxmlformats.org/officeDocument/2006/relationships/hyperlink" Target="https://www.aitsl.edu.au/docs/default-source/default-document-library/aitsl_factsheet.pdf?sfvrsn=f8c2ec3c_0"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aitsl.edu.au/docs/default-source/national-policy-framework/australian-professional-standard-for-principals-and-the-leadership-profiles-(web).pdf?sfvrsn=c07eff3c_10" TargetMode="External"/><Relationship Id="rId4" Type="http://schemas.openxmlformats.org/officeDocument/2006/relationships/webSettings" Target="webSettings.xml"/><Relationship Id="rId9" Type="http://schemas.openxmlformats.org/officeDocument/2006/relationships/hyperlink" Target="https://www.youtube.com/watch?v=EjMBxxNaboE" TargetMode="External"/><Relationship Id="rId14" Type="http://schemas.openxmlformats.org/officeDocument/2006/relationships/image" Target="media/image4.png"/><Relationship Id="rId22" Type="http://schemas.openxmlformats.org/officeDocument/2006/relationships/hyperlink" Target="https://www.aitsl.edu.au/docs/default-source/default-document-library/australian_teacher_performance_and_development_framework_august_2012_faq.pdf?sfvrsn=a4c2ec3c_0" TargetMode="External"/><Relationship Id="rId27" Type="http://schemas.openxmlformats.org/officeDocument/2006/relationships/hyperlink" Target="https://www.aitsl.edu.au/teach/understand-your-impact/quality-teaching-mod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2442</Words>
  <Characters>13921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4</cp:revision>
  <dcterms:created xsi:type="dcterms:W3CDTF">2025-09-16T00:34:00Z</dcterms:created>
  <dcterms:modified xsi:type="dcterms:W3CDTF">2025-09-24T04:46:00Z</dcterms:modified>
</cp:coreProperties>
</file>